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0F9" w:rsidRPr="001B54EC" w:rsidRDefault="009210F9" w:rsidP="009210F9">
      <w:pPr>
        <w:rPr>
          <w:rFonts w:ascii="Times New Roman" w:hAnsi="Times New Roman"/>
          <w:b/>
        </w:rPr>
      </w:pPr>
    </w:p>
    <w:p w:rsidR="009210F9" w:rsidRPr="001B54EC" w:rsidRDefault="009210F9" w:rsidP="009210F9">
      <w:pPr>
        <w:jc w:val="center"/>
        <w:rPr>
          <w:rFonts w:ascii="Times New Roman" w:hAnsi="Times New Roman"/>
        </w:rPr>
      </w:pPr>
    </w:p>
    <w:p w:rsidR="009210F9" w:rsidRPr="001B54EC" w:rsidRDefault="009210F9" w:rsidP="009210F9">
      <w:pPr>
        <w:jc w:val="center"/>
        <w:rPr>
          <w:rFonts w:ascii="Times New Roman" w:hAnsi="Times New Roman"/>
        </w:rPr>
      </w:pPr>
    </w:p>
    <w:p w:rsidR="009210F9" w:rsidRDefault="009210F9" w:rsidP="009210F9">
      <w:pPr>
        <w:jc w:val="center"/>
        <w:rPr>
          <w:rFonts w:ascii="Times New Roman" w:hAnsi="Times New Roman"/>
          <w:b/>
          <w:bCs/>
          <w:color w:val="000000"/>
        </w:rPr>
      </w:pPr>
    </w:p>
    <w:p w:rsidR="009210F9" w:rsidRDefault="009210F9" w:rsidP="009210F9">
      <w:pPr>
        <w:jc w:val="center"/>
        <w:rPr>
          <w:rFonts w:ascii="Times New Roman" w:hAnsi="Times New Roman"/>
          <w:b/>
          <w:bCs/>
          <w:color w:val="000000"/>
        </w:rPr>
      </w:pPr>
    </w:p>
    <w:p w:rsidR="00D83D54" w:rsidRDefault="00D83D54" w:rsidP="009210F9">
      <w:pPr>
        <w:jc w:val="center"/>
        <w:rPr>
          <w:rFonts w:ascii="Times New Roman" w:hAnsi="Times New Roman"/>
          <w:b/>
          <w:bCs/>
          <w:color w:val="000000"/>
        </w:rPr>
      </w:pPr>
    </w:p>
    <w:p w:rsidR="009210F9" w:rsidRPr="00D83D54" w:rsidRDefault="009210F9" w:rsidP="009210F9">
      <w:pPr>
        <w:jc w:val="center"/>
        <w:rPr>
          <w:rFonts w:ascii="Times New Roman" w:hAnsi="Times New Roman"/>
          <w:b/>
          <w:bCs/>
          <w:color w:val="000000"/>
          <w:sz w:val="28"/>
          <w:szCs w:val="28"/>
        </w:rPr>
      </w:pPr>
      <w:r w:rsidRPr="00D83D54">
        <w:rPr>
          <w:rFonts w:ascii="Times New Roman" w:hAnsi="Times New Roman"/>
          <w:b/>
          <w:bCs/>
          <w:color w:val="000000"/>
          <w:sz w:val="28"/>
          <w:szCs w:val="28"/>
        </w:rPr>
        <w:t>Financial Conditions Indexes: A Fresh Look after the Financial Crisis*</w:t>
      </w:r>
    </w:p>
    <w:p w:rsidR="009210F9" w:rsidRPr="002D566E" w:rsidRDefault="009210F9" w:rsidP="00D83D54">
      <w:pPr>
        <w:rPr>
          <w:rFonts w:ascii="Times New Roman" w:hAnsi="Times New Roman"/>
          <w:b/>
          <w:bCs/>
          <w:color w:val="FF0000"/>
          <w:sz w:val="32"/>
        </w:rPr>
      </w:pPr>
    </w:p>
    <w:p w:rsidR="009210F9" w:rsidRDefault="009210F9" w:rsidP="009210F9">
      <w:pPr>
        <w:jc w:val="center"/>
        <w:rPr>
          <w:rFonts w:ascii="Times New Roman" w:hAnsi="Times New Roman"/>
        </w:rPr>
      </w:pPr>
    </w:p>
    <w:p w:rsidR="009210F9" w:rsidRPr="001B54EC" w:rsidRDefault="009210F9" w:rsidP="009210F9">
      <w:pPr>
        <w:jc w:val="center"/>
        <w:rPr>
          <w:rFonts w:ascii="Times New Roman" w:hAnsi="Times New Roman"/>
        </w:rPr>
      </w:pPr>
    </w:p>
    <w:p w:rsidR="009210F9" w:rsidRPr="001B54EC" w:rsidRDefault="009210F9" w:rsidP="009210F9">
      <w:pPr>
        <w:jc w:val="center"/>
        <w:rPr>
          <w:rFonts w:ascii="Times New Roman" w:hAnsi="Times New Roman"/>
        </w:rPr>
      </w:pPr>
      <w:r w:rsidRPr="001B54EC">
        <w:rPr>
          <w:rFonts w:ascii="Times New Roman" w:hAnsi="Times New Roman"/>
        </w:rPr>
        <w:t>Jan Hatzius, Peter Hooper, Frederic Mishkin, Kermit L. Schoenholtz and Mark W. Watson</w:t>
      </w: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Pr="001B54EC" w:rsidRDefault="009210F9" w:rsidP="009210F9">
      <w:pPr>
        <w:jc w:val="center"/>
        <w:rPr>
          <w:rFonts w:ascii="Times New Roman" w:hAnsi="Times New Roman"/>
        </w:rPr>
      </w:pPr>
    </w:p>
    <w:p w:rsidR="009210F9" w:rsidRPr="001B54EC" w:rsidRDefault="009210F9" w:rsidP="009210F9">
      <w:pPr>
        <w:jc w:val="center"/>
        <w:rPr>
          <w:rFonts w:ascii="Times New Roman" w:hAnsi="Times New Roman"/>
        </w:rPr>
      </w:pPr>
    </w:p>
    <w:p w:rsidR="009210F9" w:rsidRPr="001B54EC" w:rsidRDefault="009210F9" w:rsidP="009210F9">
      <w:pPr>
        <w:jc w:val="center"/>
        <w:rPr>
          <w:rFonts w:ascii="Times New Roman" w:hAnsi="Times New Roman"/>
        </w:rPr>
      </w:pPr>
    </w:p>
    <w:p w:rsidR="009210F9" w:rsidRDefault="009210F9" w:rsidP="009210F9">
      <w:pPr>
        <w:jc w:val="center"/>
        <w:rPr>
          <w:rFonts w:ascii="Times New Roman" w:hAnsi="Times New Roman"/>
        </w:rPr>
      </w:pPr>
      <w:r>
        <w:rPr>
          <w:rFonts w:ascii="Times New Roman" w:hAnsi="Times New Roman"/>
        </w:rPr>
        <w:t xml:space="preserve">This Draft: </w:t>
      </w:r>
      <w:r w:rsidR="002435FA">
        <w:rPr>
          <w:rFonts w:ascii="Times New Roman" w:hAnsi="Times New Roman"/>
        </w:rPr>
        <w:t xml:space="preserve">April </w:t>
      </w:r>
      <w:r w:rsidR="007146D5">
        <w:rPr>
          <w:rFonts w:ascii="Times New Roman" w:hAnsi="Times New Roman"/>
        </w:rPr>
        <w:t>1</w:t>
      </w:r>
      <w:r w:rsidR="00F223B7">
        <w:rPr>
          <w:rFonts w:ascii="Times New Roman" w:hAnsi="Times New Roman"/>
        </w:rPr>
        <w:t>3</w:t>
      </w:r>
      <w:r w:rsidR="002435FA">
        <w:rPr>
          <w:rFonts w:ascii="Times New Roman" w:hAnsi="Times New Roman"/>
        </w:rPr>
        <w:t>,</w:t>
      </w:r>
      <w:r w:rsidRPr="001B54EC">
        <w:rPr>
          <w:rFonts w:ascii="Times New Roman" w:hAnsi="Times New Roman"/>
        </w:rPr>
        <w:t xml:space="preserve"> 2010</w:t>
      </w: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r>
        <w:rPr>
          <w:rFonts w:ascii="Times New Roman" w:hAnsi="Times New Roman"/>
        </w:rPr>
        <w:t>Abstract</w:t>
      </w:r>
    </w:p>
    <w:p w:rsidR="009210F9" w:rsidRDefault="009210F9" w:rsidP="009210F9">
      <w:pPr>
        <w:jc w:val="center"/>
        <w:rPr>
          <w:rFonts w:ascii="Times New Roman" w:hAnsi="Times New Roman"/>
        </w:rPr>
      </w:pPr>
    </w:p>
    <w:p w:rsidR="009210F9" w:rsidRDefault="009210F9">
      <w:pPr>
        <w:jc w:val="both"/>
        <w:rPr>
          <w:rFonts w:ascii="Times New Roman" w:hAnsi="Times New Roman"/>
        </w:rPr>
      </w:pPr>
      <w:r>
        <w:rPr>
          <w:rFonts w:ascii="Times New Roman" w:hAnsi="Times New Roman"/>
        </w:rPr>
        <w:t xml:space="preserve">This report explores the link between financial conditions and economic activity.  We first review existing measures, including both single indicators and composite financial conditions indexes (FCIs).  We then build a new FCI that features three key innovations.   First, besides interest rates and asset prices, it includes a broad range of quantitative and survey-based indicators.  Second, our use of unbalanced panel estimation techniques results in a longer time series (back to 1970) than available for other indexes.  Third, we control for past GDP growth and inflation and thus focus on the predictive power of financial conditions for </w:t>
      </w:r>
      <w:r w:rsidRPr="00A3299F">
        <w:rPr>
          <w:rFonts w:ascii="Times New Roman" w:hAnsi="Times New Roman"/>
          <w:i/>
        </w:rPr>
        <w:t>future</w:t>
      </w:r>
      <w:r>
        <w:rPr>
          <w:rFonts w:ascii="Times New Roman" w:hAnsi="Times New Roman"/>
        </w:rPr>
        <w:t xml:space="preserve"> economic activity.  During most of the past two decades for which comparisons are possible, including the last five years, our FCI shows a tighter link with future economic activity than existing indexes, although some of this undoubtedly reflects the fact that we selected the variables partly based on our observation of the recent financial crisis.  As of the end of 2009, our FCI showed financial conditions at somewhat worse-than-normal levels.  </w:t>
      </w:r>
      <w:r w:rsidR="002435FA">
        <w:rPr>
          <w:rFonts w:ascii="Times New Roman" w:hAnsi="Times New Roman"/>
        </w:rPr>
        <w:t>The main reason</w:t>
      </w:r>
      <w:r w:rsidR="009C43EB">
        <w:rPr>
          <w:rFonts w:ascii="Times New Roman" w:hAnsi="Times New Roman"/>
        </w:rPr>
        <w:t xml:space="preserve"> is </w:t>
      </w:r>
      <w:r w:rsidR="002435FA">
        <w:rPr>
          <w:rFonts w:ascii="Times New Roman" w:hAnsi="Times New Roman"/>
        </w:rPr>
        <w:t xml:space="preserve">that various quantitative credit measures (especially issuance of asset backed securities) remained </w:t>
      </w:r>
      <w:r w:rsidR="009C43EB">
        <w:rPr>
          <w:rFonts w:ascii="Times New Roman" w:hAnsi="Times New Roman"/>
        </w:rPr>
        <w:t>unusually</w:t>
      </w:r>
      <w:r w:rsidR="002435FA">
        <w:rPr>
          <w:rFonts w:ascii="Times New Roman" w:hAnsi="Times New Roman"/>
        </w:rPr>
        <w:t xml:space="preserve"> weak for an economy that had resumed expanding</w:t>
      </w:r>
      <w:r w:rsidR="009C43EB">
        <w:rPr>
          <w:rFonts w:ascii="Times New Roman" w:hAnsi="Times New Roman"/>
        </w:rPr>
        <w:t>.</w:t>
      </w:r>
      <w:r>
        <w:rPr>
          <w:rFonts w:ascii="Times New Roman" w:hAnsi="Times New Roman"/>
        </w:rPr>
        <w:t xml:space="preserve"> Thus, our analysis is consistent with an ongoing modest drag from financial conditions on economic growth in 2010.</w:t>
      </w:r>
    </w:p>
    <w:p w:rsidR="009210F9" w:rsidRDefault="009210F9">
      <w:pPr>
        <w:jc w:val="both"/>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9210F9" w:rsidRDefault="009210F9" w:rsidP="009210F9">
      <w:pPr>
        <w:jc w:val="center"/>
        <w:rPr>
          <w:rFonts w:ascii="Times New Roman" w:hAnsi="Times New Roman"/>
        </w:rPr>
      </w:pPr>
    </w:p>
    <w:p w:rsidR="00104888" w:rsidRPr="00C50DA6" w:rsidRDefault="009210F9" w:rsidP="00104888">
      <w:pPr>
        <w:autoSpaceDE w:val="0"/>
        <w:autoSpaceDN w:val="0"/>
        <w:adjustRightInd w:val="0"/>
        <w:rPr>
          <w:rFonts w:ascii="Times New Roman" w:hAnsi="Times New Roman"/>
          <w:color w:val="000000"/>
          <w:sz w:val="22"/>
          <w:szCs w:val="22"/>
        </w:rPr>
      </w:pPr>
      <w:r>
        <w:rPr>
          <w:rFonts w:ascii="Times New Roman" w:hAnsi="Times New Roman"/>
        </w:rPr>
        <w:t xml:space="preserve">* Affiliations are Hatzius (Goldman Sachs), Hooper (Deutsche Bank), Mishkin (Graduate School of Business, Columbia </w:t>
      </w:r>
      <w:r w:rsidR="00BB7BE6" w:rsidRPr="00BB7BE6">
        <w:rPr>
          <w:rFonts w:ascii="Times New Roman" w:hAnsi="Times New Roman"/>
          <w:sz w:val="22"/>
          <w:szCs w:val="22"/>
        </w:rPr>
        <w:t xml:space="preserve">University, and National Bureau of Economic Research), Schoenholtz (Leonard N. Stern School of Business, New York University), and Watson (Department of Economics and Woodrow Wilson School, Princeton University, and National Bureau of Economic Research).  </w:t>
      </w:r>
      <w:r w:rsidR="00BB7BE6" w:rsidRPr="00BB7BE6">
        <w:rPr>
          <w:rFonts w:ascii="Times New Roman" w:hAnsi="Times New Roman"/>
          <w:color w:val="000000"/>
          <w:sz w:val="22"/>
          <w:szCs w:val="22"/>
        </w:rPr>
        <w:t xml:space="preserve">We are grateful to our discussants (William Dudley and Narayana Kocherlakota) and to the participants in the 2010 U.S. Monetary Policy Forum for their helpful contributions. </w:t>
      </w:r>
      <w:r w:rsidR="00BB7BE6" w:rsidRPr="00BB7BE6">
        <w:rPr>
          <w:rFonts w:ascii="Times New Roman" w:hAnsi="Times New Roman"/>
          <w:sz w:val="22"/>
          <w:szCs w:val="22"/>
        </w:rPr>
        <w:t xml:space="preserve">We thank Christine Dobridge, David Kelley, and Torsten Slok for help with the analysis.  We also thank Lewis Alexander, Anil Kashyap, Serena Ng, Hyun Shin, and Kenneth West for valuable comments and advice, and we thank </w:t>
      </w:r>
      <w:r w:rsidR="00BB7BE6" w:rsidRPr="00BB7BE6">
        <w:rPr>
          <w:rFonts w:ascii="Times New Roman" w:hAnsi="Times New Roman"/>
          <w:color w:val="000000"/>
          <w:sz w:val="22"/>
          <w:szCs w:val="22"/>
        </w:rPr>
        <w:t>the Columbia University Macroeconomics Lunch Group and a seminar faculty group at NYU Stern School of Business for their suggestions. Finally, we</w:t>
      </w:r>
      <w:r w:rsidR="00BB7BE6" w:rsidRPr="00BB7BE6">
        <w:rPr>
          <w:rFonts w:ascii="Times New Roman" w:hAnsi="Times New Roman"/>
          <w:sz w:val="22"/>
          <w:szCs w:val="22"/>
        </w:rPr>
        <w:t xml:space="preserve"> thank Bloomberg, Citi, the Federal Reserve Bank of Kansas City, Simon Gilchrist, Macroeconomic Advisers, and the OECD for generously sharing their credit spread and financial conditions data.  The views expressed here are those of the authors only and not necessarily of the institutions with which they are affiliated.  All errors are our own. </w:t>
      </w:r>
      <w:r w:rsidR="00BB7BE6" w:rsidRPr="00BB7BE6">
        <w:rPr>
          <w:rFonts w:ascii="Times New Roman" w:hAnsi="Times New Roman"/>
          <w:color w:val="000000"/>
          <w:sz w:val="22"/>
          <w:szCs w:val="22"/>
        </w:rPr>
        <w:t>Data and replications files for the FCI and other results in this paper can be downloaded at http://www.princeton.edu/~mwatson/</w:t>
      </w:r>
    </w:p>
    <w:p w:rsidR="009210F9" w:rsidRDefault="009210F9" w:rsidP="009210F9">
      <w:pPr>
        <w:rPr>
          <w:rFonts w:ascii="Times New Roman" w:hAnsi="Times New Roman"/>
        </w:rPr>
        <w:sectPr w:rsidR="009210F9">
          <w:footerReference w:type="even" r:id="rId7"/>
          <w:footerReference w:type="default" r:id="rId8"/>
          <w:pgSz w:w="12240" w:h="15840"/>
          <w:pgMar w:top="1440" w:right="1440" w:bottom="1440" w:left="1440" w:header="720" w:footer="720" w:gutter="0"/>
          <w:pgNumType w:start="0"/>
          <w:cols w:space="720"/>
          <w:titlePg/>
          <w:docGrid w:linePitch="360"/>
        </w:sectPr>
      </w:pPr>
    </w:p>
    <w:p w:rsidR="009210F9" w:rsidRPr="001B54EC" w:rsidRDefault="009210F9" w:rsidP="009210F9">
      <w:pPr>
        <w:rPr>
          <w:rFonts w:ascii="Times New Roman" w:hAnsi="Times New Roman"/>
          <w:b/>
        </w:rPr>
      </w:pPr>
      <w:r w:rsidRPr="001B54EC">
        <w:rPr>
          <w:rFonts w:ascii="Times New Roman" w:hAnsi="Times New Roman"/>
          <w:b/>
        </w:rPr>
        <w:t>1.  INTRODUCTION</w:t>
      </w:r>
    </w:p>
    <w:p w:rsidR="009210F9" w:rsidRPr="001B54EC" w:rsidRDefault="009210F9" w:rsidP="009210F9">
      <w:pPr>
        <w:rPr>
          <w:rFonts w:ascii="Times New Roman" w:hAnsi="Times New Roman"/>
          <w:b/>
        </w:rPr>
      </w:pPr>
    </w:p>
    <w:p w:rsidR="009210F9" w:rsidRPr="001B54EC" w:rsidRDefault="009210F9" w:rsidP="009210F9">
      <w:pPr>
        <w:rPr>
          <w:rFonts w:ascii="Times New Roman" w:hAnsi="Times New Roman"/>
        </w:rPr>
      </w:pPr>
      <w:r w:rsidRPr="001B54EC">
        <w:rPr>
          <w:rFonts w:ascii="Times New Roman" w:hAnsi="Times New Roman"/>
        </w:rPr>
        <w:t>Starting in August of 2007, the U.S. economy was hit by the most serious financial disruption since the Great Depression period of the early 1930s.  The subsequent financial crisis, which receded during the course of 2009, was followed by the most severe recession in the post World War II period, with unemployment rising by over five and half percentage points from its lows</w:t>
      </w:r>
      <w:r>
        <w:rPr>
          <w:rFonts w:ascii="Times New Roman" w:hAnsi="Times New Roman"/>
        </w:rPr>
        <w:t>,</w:t>
      </w:r>
      <w:r w:rsidRPr="001B54EC">
        <w:rPr>
          <w:rFonts w:ascii="Times New Roman" w:hAnsi="Times New Roman"/>
        </w:rPr>
        <w:t xml:space="preserve"> and peaking at over ten percent.  </w:t>
      </w:r>
    </w:p>
    <w:p w:rsidR="009210F9" w:rsidRPr="001B54EC" w:rsidRDefault="009210F9" w:rsidP="009210F9">
      <w:pPr>
        <w:rPr>
          <w:rFonts w:ascii="Times New Roman" w:hAnsi="Times New Roman"/>
        </w:rPr>
      </w:pPr>
    </w:p>
    <w:p w:rsidR="009210F9" w:rsidRPr="001B54EC" w:rsidRDefault="009210F9" w:rsidP="009210F9">
      <w:pPr>
        <w:rPr>
          <w:rFonts w:ascii="Times New Roman" w:hAnsi="Times New Roman"/>
        </w:rPr>
      </w:pPr>
      <w:r w:rsidRPr="001B54EC">
        <w:rPr>
          <w:rFonts w:ascii="Times New Roman" w:hAnsi="Times New Roman"/>
        </w:rPr>
        <w:t xml:space="preserve">This shock to the U.S. (and the world) economy has brought to the fore the importance of financial conditions to macroeconomic outcomes.  In this paper we examine why financial condition indexes might prove to be a useful tool for both forecasters and policymakers, </w:t>
      </w:r>
      <w:r>
        <w:rPr>
          <w:rFonts w:ascii="Times New Roman" w:hAnsi="Times New Roman"/>
        </w:rPr>
        <w:t xml:space="preserve">analyze </w:t>
      </w:r>
      <w:r w:rsidRPr="001B54EC">
        <w:rPr>
          <w:rFonts w:ascii="Times New Roman" w:hAnsi="Times New Roman"/>
        </w:rPr>
        <w:t xml:space="preserve">how they are constructed, and provide new econometric research to see how useful a tool they can be.  </w:t>
      </w:r>
    </w:p>
    <w:p w:rsidR="009210F9" w:rsidRPr="001B54EC" w:rsidRDefault="009210F9" w:rsidP="009210F9">
      <w:pPr>
        <w:rPr>
          <w:rFonts w:ascii="Times New Roman" w:hAnsi="Times New Roman"/>
          <w:b/>
        </w:rPr>
      </w:pPr>
    </w:p>
    <w:p w:rsidR="009210F9" w:rsidRPr="001B54EC" w:rsidRDefault="009210F9" w:rsidP="009210F9">
      <w:pPr>
        <w:rPr>
          <w:rFonts w:ascii="Times New Roman" w:hAnsi="Times New Roman"/>
          <w:b/>
        </w:rPr>
      </w:pPr>
      <w:r w:rsidRPr="001B54EC">
        <w:rPr>
          <w:rFonts w:ascii="Times New Roman" w:hAnsi="Times New Roman"/>
          <w:b/>
        </w:rPr>
        <w:t>2. THE WHYS AND HOWS OF FINANCIAL CONDITIONS INDEXES</w:t>
      </w:r>
    </w:p>
    <w:p w:rsidR="009210F9" w:rsidRPr="001B54EC" w:rsidRDefault="009210F9" w:rsidP="009210F9">
      <w:pPr>
        <w:rPr>
          <w:rFonts w:ascii="Times New Roman" w:hAnsi="Times New Roman"/>
          <w:b/>
        </w:rPr>
      </w:pPr>
    </w:p>
    <w:p w:rsidR="009210F9" w:rsidRPr="001B54EC" w:rsidRDefault="009210F9" w:rsidP="009210F9">
      <w:pPr>
        <w:rPr>
          <w:rFonts w:ascii="Times New Roman" w:hAnsi="Times New Roman"/>
        </w:rPr>
      </w:pPr>
      <w:r w:rsidRPr="001B54EC">
        <w:rPr>
          <w:rFonts w:ascii="Times New Roman" w:hAnsi="Times New Roman"/>
        </w:rPr>
        <w:t xml:space="preserve">To understand the usefulness of financial condition indexes, we will start by discussing why financial conditions matter, and then will turn to how they have been constructed in practice. </w:t>
      </w:r>
    </w:p>
    <w:p w:rsidR="009210F9" w:rsidRPr="001B54EC" w:rsidRDefault="009210F9" w:rsidP="009210F9">
      <w:pPr>
        <w:rPr>
          <w:rFonts w:ascii="Times New Roman" w:hAnsi="Times New Roman"/>
        </w:rPr>
      </w:pPr>
    </w:p>
    <w:p w:rsidR="009210F9" w:rsidRPr="001B54EC" w:rsidRDefault="009210F9" w:rsidP="009210F9">
      <w:pPr>
        <w:rPr>
          <w:rFonts w:ascii="Times New Roman" w:hAnsi="Times New Roman"/>
        </w:rPr>
      </w:pPr>
    </w:p>
    <w:p w:rsidR="009210F9" w:rsidRPr="001B54EC" w:rsidRDefault="009210F9" w:rsidP="009210F9">
      <w:pPr>
        <w:rPr>
          <w:rFonts w:ascii="Times New Roman" w:hAnsi="Times New Roman"/>
          <w:b/>
          <w:i/>
        </w:rPr>
      </w:pPr>
      <w:r w:rsidRPr="001B54EC">
        <w:rPr>
          <w:rFonts w:ascii="Times New Roman" w:hAnsi="Times New Roman"/>
          <w:b/>
        </w:rPr>
        <w:t>2</w:t>
      </w:r>
      <w:r>
        <w:rPr>
          <w:rFonts w:ascii="Times New Roman" w:hAnsi="Times New Roman"/>
          <w:b/>
        </w:rPr>
        <w:t>.</w:t>
      </w:r>
      <w:r w:rsidRPr="001B54EC">
        <w:rPr>
          <w:rFonts w:ascii="Times New Roman" w:hAnsi="Times New Roman"/>
          <w:b/>
        </w:rPr>
        <w:t>1</w:t>
      </w:r>
      <w:r w:rsidRPr="001B54EC">
        <w:rPr>
          <w:rFonts w:ascii="Times New Roman" w:hAnsi="Times New Roman"/>
          <w:b/>
          <w:i/>
        </w:rPr>
        <w:t xml:space="preserve"> Why Financial Conditions Matter</w:t>
      </w:r>
    </w:p>
    <w:p w:rsidR="009210F9" w:rsidRPr="001B54EC" w:rsidRDefault="009210F9">
      <w:pPr>
        <w:rPr>
          <w:rFonts w:ascii="Times New Roman" w:hAnsi="Times New Roman"/>
          <w:b/>
        </w:rPr>
      </w:pPr>
    </w:p>
    <w:p w:rsidR="009210F9" w:rsidRPr="001B54EC" w:rsidRDefault="009210F9">
      <w:pPr>
        <w:rPr>
          <w:rFonts w:ascii="Times New Roman" w:hAnsi="Times New Roman"/>
        </w:rPr>
      </w:pPr>
      <w:r w:rsidRPr="001B54EC">
        <w:rPr>
          <w:rFonts w:ascii="Times New Roman" w:hAnsi="Times New Roman"/>
        </w:rPr>
        <w:t xml:space="preserve">Financial conditions can be defined as the current state of financial variables that influence economic behavior and (thereby) the future state of the economy. In theory, such financial variables may include anything that characterizes the supply or demand of financial instruments relevant for economic activity. This list might comprise a wide array of asset prices and quantities (both stocks and flows), as well as indicators of </w:t>
      </w:r>
      <w:r w:rsidRPr="001B54EC">
        <w:rPr>
          <w:rFonts w:ascii="Times New Roman" w:hAnsi="Times New Roman"/>
          <w:i/>
        </w:rPr>
        <w:t>potential</w:t>
      </w:r>
      <w:r w:rsidRPr="001B54EC">
        <w:rPr>
          <w:rFonts w:ascii="Times New Roman" w:hAnsi="Times New Roman"/>
        </w:rPr>
        <w:t xml:space="preserve"> asset supply and demand. The latter may range from surveys of credit availability to the capital adequacy of financial intermediaries.</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 xml:space="preserve">A financial conditions index (FCI) summarizes the information about the future state of the economy contained in these current financial variables. Ideally, an FCI should measure </w:t>
      </w:r>
      <w:r w:rsidRPr="001B54EC">
        <w:rPr>
          <w:rFonts w:ascii="Times New Roman" w:hAnsi="Times New Roman"/>
          <w:i/>
        </w:rPr>
        <w:t>financial shocks</w:t>
      </w:r>
      <w:r w:rsidRPr="001B54EC">
        <w:rPr>
          <w:rFonts w:ascii="Times New Roman" w:hAnsi="Times New Roman"/>
        </w:rPr>
        <w:t xml:space="preserve"> – exogenous shifts in financial conditions that influence or otherwise predict future economic activity. True financial shocks should be distinguished from the endogenous reflection or embodiment in financial variables of past economic activity that itself predicts future activity. If the only information contained in financial variables about future economic activity were of this endogenous variety, there would be no reason to construct an FCI: Past economic activity itself would contain all the relevant predictive information.</w:t>
      </w:r>
      <w:r w:rsidRPr="001B54EC">
        <w:rPr>
          <w:rStyle w:val="FootnoteReference"/>
          <w:rFonts w:ascii="Times New Roman" w:hAnsi="Times New Roman"/>
        </w:rPr>
        <w:footnoteReference w:id="1"/>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 xml:space="preserve">Of course, a single measure of financial conditions may be insufficient to summarize all the predictive content. To simplify the exposition, we assume in this section that a single FCI is an adequate summary statistic. Later, in the empirical section of the paper, we relax and examine that assumption. </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 xml:space="preserve">The vast literature on the monetary transmission mechanism is a natural starting place for understanding FCIs. In that literature, monetary policy influences the economy by altering the financial conditions that affect economic behavior. </w:t>
      </w:r>
      <w:r>
        <w:rPr>
          <w:rFonts w:ascii="Times New Roman" w:hAnsi="Times New Roman"/>
        </w:rPr>
        <w:t>The structure of the financial system is a key determinant of the importance of various channels of transmission</w:t>
      </w:r>
      <w:r w:rsidRPr="001B54EC">
        <w:rPr>
          <w:rFonts w:ascii="Times New Roman" w:hAnsi="Times New Roman"/>
        </w:rPr>
        <w:t>. For example, the large corporate bond market in the United States and its broadening over time suggest that market prices for credit are more powerful influences on U.S. economic activity than would be the case in Japan or Germany today, or in the United States decades ago. The state of the economy also matters: For example, financial conditions that influence investment may be less important in periods of large excess capacity.</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The recent analysis of the monetary transmission mechanism by Boivin et al. (2009) classifies these channels as neoclassical and non-neoclassical.</w:t>
      </w:r>
      <w:r w:rsidRPr="001B54EC">
        <w:rPr>
          <w:rStyle w:val="FootnoteReference"/>
          <w:rFonts w:ascii="Times New Roman" w:hAnsi="Times New Roman"/>
        </w:rPr>
        <w:footnoteReference w:id="2"/>
      </w:r>
      <w:r w:rsidRPr="001B54EC">
        <w:rPr>
          <w:rFonts w:ascii="Times New Roman" w:hAnsi="Times New Roman"/>
        </w:rPr>
        <w:t xml:space="preserve">  The first category is comprised of traditional investment-, consumption- and trade-based channels of transmission. The investment channel contains both the impact of long-term interest rates on the user cost of capital and the impact of asset prices on the demand for new physical capital (Tobin’s </w:t>
      </w:r>
      <w:r w:rsidRPr="00CD186A">
        <w:rPr>
          <w:rFonts w:ascii="Times New Roman" w:hAnsi="Times New Roman"/>
          <w:i/>
        </w:rPr>
        <w:t>q</w:t>
      </w:r>
      <w:r w:rsidRPr="001B54EC">
        <w:rPr>
          <w:rFonts w:ascii="Times New Roman" w:hAnsi="Times New Roman"/>
        </w:rPr>
        <w:t xml:space="preserve">). The consumption channel contains both wealth and intertemporal substitution effects. Both the investment- and consumption-based channels may be affected by changes in risk perceptions and risk tolerance that alter market risk premia. Finally, the trade channel captures the impact of the real exchange rate on net exports. </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 xml:space="preserve">The second category – or non-neoclassical set – of transmission channels includes virtually everything else.  Prominent among this category are imperfections in credit supply arising from government intervention, from institutional constraints on intermediaries and from balance sheet constraints of borrowers. </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 xml:space="preserve">These credit-related channels work in complex ways that depend on prevailing institutional and market practices. For example, factors that aggravate or mitigate information asymmetries between lenders and borrowers – such as </w:t>
      </w:r>
      <w:r>
        <w:rPr>
          <w:rFonts w:ascii="Times New Roman" w:hAnsi="Times New Roman"/>
        </w:rPr>
        <w:t>an increase in aggregate uncertainty</w:t>
      </w:r>
      <w:r w:rsidRPr="001B54EC">
        <w:rPr>
          <w:rFonts w:ascii="Times New Roman" w:hAnsi="Times New Roman"/>
        </w:rPr>
        <w:t xml:space="preserve"> – can alter credit supply. In addition, the behavior of intermediaries is subject to threshold effects – like runs – that are sudden and highly nonlinear and may radically alter the link between the policy tool and economic prospects.  Consequently, factors that affect the vulnerability of financial arrangements  – such as changing uncertainty about the risk exposures of leveraged intermediaries – also may play an important role in assessing financial conditions.</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Naturally, the importance of these different transmission categories may change over time. For example, a “credit view” – which emphasizes some of the non-neoclassical factors – might highlight the impact of the depletion of bank capital and the decline in borrower net worth in explaining the weak response of the U.S. economy to low policy rates in the early 1990s. A neoclassical assessment of the 1998-2002 period might highlight the role of stock prices in driving investment and, to a lesser extent, consumption.</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 xml:space="preserve">Note that both categories of transmission channels allow for a loose link (or even for the loss of a link) between the setting of the policy tool – typically, the rate on interbank lending – and the behavior of the economy. The financial conditions that matter for future economic activity are subject to shocks from sources other than policy, in addition to policy influences. In the two examples in the previous paragraph, these shocks would include changes in the net worth of lenders and borrowers, or in the relationship between asset prices and economic fundamentals. </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 xml:space="preserve">The impact of the policy tool on financial conditions also need not be stable (let alone linear) over time. This consideration would seem particularly important when policy tools are used beyond the usual range of variation. Indeed, at the zero interest rate bound for monetary policy, the conventional policy tool itself is no longer available. </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Naturally, policymakers would like to know how less conventional policy tools affect financial conditions and the economy. Following the financial crisis of 2007-09, three unconventional policy approaches are of particular importance: (1) a commitment to keep policy rates low (hereafter, a policy duration commitment); (2) quantitative easing (QE; the supply of reserves in excess of the level needed to keep the policy rate at its target); and (3) credit easing (CE; changes in a central bank’s asset mix aimed at altering the relative prices of the assets available to the private sector).</w:t>
      </w:r>
      <w:r w:rsidRPr="001B54EC">
        <w:rPr>
          <w:rStyle w:val="FootnoteReference"/>
          <w:rFonts w:ascii="Times New Roman" w:hAnsi="Times New Roman"/>
        </w:rPr>
        <w:footnoteReference w:id="3"/>
      </w:r>
      <w:r w:rsidRPr="001B54EC">
        <w:rPr>
          <w:rFonts w:ascii="Times New Roman" w:hAnsi="Times New Roman"/>
        </w:rPr>
        <w:t xml:space="preserve"> </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 xml:space="preserve">To understand the impact of such unconventional tools, it is again necessary to focus on the specific channels by which these tools affect financial conditions. In theory, a full and complete understanding of the channels of monetary transmission could allow us to anticipate the economic impact of unconventional policy shifts. We could try to address questions such as “At the zero bound, what scale of QE or CE is expected to be equivalent in terms of future economic stimulus to a step-reduction of the conventional policy rate?” Or, “how long a policy duration commitment is needed to achieve the same effect?” Or, how much does it matter if the commitment is conditional (say, on the evolution of inflation prospects) or unconditional (that is, fixed in time)? How different is the economic stimulus if the central bank purchases $1 trillion or $2 trillion of mortgage-backed securities? </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In practice, of course, our understanding of monetary policy transmission is far less evolved. First, in economies with sophisticated financial systems, the transmission channels are diverse and change over time. Some channels occasionally may be blocked (for example, when intermediaries are impaired or key markets fail to function), thereby altering the impact of policy changes. Second, across economies with different financial systems, the variance in the importance of specific transmission channels can be large. Third, our experience with unconventional policies is exceptionally brief and limited. At this stage, no central bank that undertook QE or CE in 2008-09 has exited from that policy stance. And, until this episode, no major central bank (aside from the Bank of Japan) had used such policies since the Great Depression.</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 xml:space="preserve">So how does the policy transmission framework help us understand and appreciate the potential utility of an FCI? To simplify, imagine that the link between a particular FCI and the future growth rate of the economy is one-for-one. In this stylized world – depicted in the schematic in Figure 2.1 – a one-unit rise (decline) in the FCI leads to a one-percentage-point increase (decrease) in the pace of economic activity. Then, since policy is transmitted to the economy </w:t>
      </w:r>
      <w:r w:rsidRPr="001B54EC">
        <w:rPr>
          <w:rFonts w:ascii="Times New Roman" w:hAnsi="Times New Roman"/>
          <w:i/>
        </w:rPr>
        <w:t>solely</w:t>
      </w:r>
      <w:r w:rsidRPr="001B54EC">
        <w:rPr>
          <w:rFonts w:ascii="Times New Roman" w:hAnsi="Times New Roman"/>
        </w:rPr>
        <w:t xml:space="preserve"> via financial conditions, the FCI would indicate whether a change in policy will alter economic prospects. It would summarize all the information about financial conditions – arising from both policy and from non-policy influences – that is relevant for the economic outlook. If policymakers changed their policy tool – conventional or unconventional – with a goal of altering economic behavior, the FCI would inform them if they will succeed.</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Of course, nothing about monetary policy or its assessment is so simple. First, the link between financial conditions and economic activity evolves over time. Changing mechanisms of finance mean that the indicators needed to capture the financial state also change. As an example, consider how the rising share of ARMs over recent decades alters the impact of short-term interest rates on the cost of home mortgages and on housing activity. Or, consider how the expansion of highly</w:t>
      </w:r>
      <w:r>
        <w:rPr>
          <w:rFonts w:ascii="Times New Roman" w:hAnsi="Times New Roman"/>
        </w:rPr>
        <w:t xml:space="preserve"> </w:t>
      </w:r>
      <w:r w:rsidRPr="001B54EC">
        <w:rPr>
          <w:rFonts w:ascii="Times New Roman" w:hAnsi="Times New Roman"/>
        </w:rPr>
        <w:t xml:space="preserve">leveraged shadow banks in the decades after 1980 altered the link between the level of interest rates and the supply of credit. </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 xml:space="preserve">Second, the importance of factors other than monetary policy on financial conditions varies over time. Bouts of euphoria and pessimism can prompt asset bubbles and crashes even in periods where monetary policy tools are set close to long-run norms. Long periods of stability can erode risk awareness (consider the impact of steadily rising house prices over the period from the Second World War to 2006). And, pro-cyclical aspects of regulation, accounting and institutional risk management can amplify the cyclicality of credit supply and the swings in market risk premia that affect economic prospects. In recent years, the impact of such non-monetary influences on financial conditions seems unusually high. </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Third, the response of financial conditions to policy changes – even aside from non-policy shocks – may change. Imagine, for example, that a central bank chooses to lower interest rates in response to an oil price shock. How will long-term interest rates and equity prices change? Presumably, a central bank that gains anti-inflation credibility over time will experience a changing response to its policy actions.</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Fourth, forces other than financial conditions also affect the performance of the real economy.  Examples include productivity shocks, commodity prices, and the “animal spirits” of consumers and business managers.  While there is a financial aspect to most of these forces, the assumption that their only impact on the real economy occurs via financial conditions is clearly too strong.</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In light of these considerations, policymakers cannot know the extent to which a policy change will alter an FCI, or the extent to which a change in an FCI foreshadows a change in the economy. Even so, an effective FCI may provide policymakers with a useful guide, especially in periods when the link between policy setting and financial conditions seems weak, or when the policy tools in use are stretched beyond their normal range. Just as a Taylor-type rule can inform (and helpfully constrain) the use of policy discretion, an FCI can serve as one guide to the effective stance of policy, after taking into account all the other factors that affect financial variables.</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Consider, for example, the period of Federal Reserve rate hikes from 2004 to 2006. In this era of the “Greenspan conundrum,” a number of FCIs in wide use suggested that broad financial conditions remained accommodative despite rising policy interest rates and a flattening yield curve. The same FCIs also showed the most extremely restrictive conditions in late 2008, even after the funds rate hit zero, the authorities had introduced a policy duration commitment, the Fed balance sheet had doubled in size, excess reserves had ballooned by a factor of 50, and policymakers had undertaken or announced plans for massive purchases of securities with some degree of credit risk. Indeed, a comparison of the paths for a specific FCI that we will construct later over previous periods of policy tightening or periods of policy easing shows that the 2004-06 and 2007-09 episodes are outliers in opposite directions. Precisely for that reason, they provide useful information to policymakers.</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To be sure, FCIs are not underpinned by a structural model derived from stable underlying microeconomic foundations. As such, their stability and predictive power is questionable. They are certainly vulnerable to the Lucas critique: Policy changes (or, more precisely, policy regime changes) reduce their utility. However, structural models with a role for a credit sector and for unconventional monetary policy are only now beginning to be explored, and they remain rudimentary (see Gertler and Kiyotaki, 2009</w:t>
      </w:r>
      <w:r>
        <w:rPr>
          <w:rFonts w:ascii="Times New Roman" w:hAnsi="Times New Roman"/>
        </w:rPr>
        <w:t xml:space="preserve"> and Brunnermeier and Sannikov, 2009</w:t>
      </w:r>
      <w:r w:rsidRPr="001B54EC">
        <w:rPr>
          <w:rFonts w:ascii="Times New Roman" w:hAnsi="Times New Roman"/>
        </w:rPr>
        <w:t>). It may be many years before such structural models can provide a reasonable basis for assessing specific policy choices. From a practical point of view, then, the use of reduced-form statistical techniques like those employed in creating FCIs is virtually the only means currently available to assess the impact of specific unconventional policy choices at the zero bound.</w:t>
      </w:r>
    </w:p>
    <w:p w:rsidR="009210F9" w:rsidRPr="001B54EC" w:rsidRDefault="009210F9">
      <w:pPr>
        <w:rPr>
          <w:rFonts w:ascii="Times New Roman" w:hAnsi="Times New Roman"/>
        </w:rPr>
      </w:pPr>
    </w:p>
    <w:p w:rsidR="009210F9" w:rsidRPr="001B54EC" w:rsidRDefault="009210F9">
      <w:pPr>
        <w:rPr>
          <w:rFonts w:ascii="Times New Roman" w:hAnsi="Times New Roman"/>
          <w:i/>
        </w:rPr>
      </w:pPr>
      <w:r w:rsidRPr="001B54EC">
        <w:rPr>
          <w:rFonts w:ascii="Times New Roman" w:hAnsi="Times New Roman"/>
          <w:b/>
        </w:rPr>
        <w:t xml:space="preserve">2.2 </w:t>
      </w:r>
      <w:r w:rsidRPr="001B54EC">
        <w:rPr>
          <w:rFonts w:ascii="Times New Roman" w:hAnsi="Times New Roman"/>
          <w:b/>
          <w:i/>
        </w:rPr>
        <w:t>Which Variables to Include in an FCI</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In principle, the range of potential financial measures to include in an FCI is quite vast.  Consider, for example, the neoclassical channels of transmission. There is a long list of financial price measures that influence the user cost of capital, including the interest rates that firms pay to borrow (both short- and long-term) and the price at which they could raise new equity capital. Not surprisingly, equity prices, the shape of the yield curve and measures of credit risk have long been used as financial indicators of future economic activity, and are common components of FCIs. Similarly, prices that affect household wealth – including those of equities and houses – or consumer interest rates that affect the tradeoff between consumption today and consumption tomorrow would be natural candidates for an FCI.</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The non-neoclassical or credit channels point to an even broader array of possible FCI components, including measures of liquidity, of borrower risk, and of the capacity and willingness of intermediaries to lend. In light of information asymmetries, the value of collateral often is critical in determining whether borrowers can obtain credit, so the asset prices of key types of collateral may be useful in an FCI. Uncertainty about the value of collateral also can be an obstacle to obtaining credit, so the volatility of these asset prices may be relevant, too. Finally, liquidity conditions (including the ability to roll over debt and to sell assets easily) and the status of their own capital also influence the propensity of intermediaries to lend. For some intermediary-related indicators – like the excess cost of an interbank loan above the expected policy rate – it is difficult to disentangle the liquidity component from the borrower-risk component, but both matter for the credit channels of transmission.</w:t>
      </w:r>
    </w:p>
    <w:p w:rsidR="009210F9" w:rsidRPr="001B54EC" w:rsidRDefault="009210F9">
      <w:pPr>
        <w:rPr>
          <w:rFonts w:ascii="Times New Roman" w:hAnsi="Times New Roman"/>
        </w:rPr>
      </w:pPr>
    </w:p>
    <w:p w:rsidR="009210F9" w:rsidRPr="001B54EC" w:rsidRDefault="009210F9">
      <w:pPr>
        <w:rPr>
          <w:rFonts w:ascii="Times New Roman" w:hAnsi="Times New Roman"/>
        </w:rPr>
      </w:pPr>
      <w:r w:rsidRPr="001B54EC">
        <w:rPr>
          <w:rFonts w:ascii="Times New Roman" w:hAnsi="Times New Roman"/>
        </w:rPr>
        <w:t>In contrast to the neoclassical channels, which are generally measured via asset prices or interest rates, some of the non-neoclassical channels may be measured via quantity indicators or even surveys. The volume of transactions helps to quantify actual access to credit. In addition, survey measures of lending standards and conditions may be useful in assessing prospective access to credit.</w:t>
      </w:r>
    </w:p>
    <w:p w:rsidR="009210F9" w:rsidRPr="001B54EC" w:rsidRDefault="009210F9">
      <w:pPr>
        <w:rPr>
          <w:rFonts w:ascii="Times New Roman" w:hAnsi="Times New Roman"/>
        </w:rPr>
      </w:pPr>
    </w:p>
    <w:p w:rsidR="009210F9" w:rsidRPr="001B54EC" w:rsidRDefault="009210F9">
      <w:pPr>
        <w:rPr>
          <w:rFonts w:ascii="Times New Roman" w:hAnsi="Times New Roman"/>
        </w:rPr>
      </w:pPr>
    </w:p>
    <w:p w:rsidR="009210F9" w:rsidRPr="001B54EC" w:rsidRDefault="009210F9" w:rsidP="009210F9">
      <w:pPr>
        <w:rPr>
          <w:rFonts w:ascii="Times New Roman" w:hAnsi="Times New Roman"/>
          <w:b/>
          <w:i/>
        </w:rPr>
      </w:pPr>
      <w:r w:rsidRPr="001B54EC">
        <w:rPr>
          <w:rFonts w:ascii="Times New Roman" w:hAnsi="Times New Roman"/>
          <w:b/>
        </w:rPr>
        <w:t xml:space="preserve">2.3 </w:t>
      </w:r>
      <w:r w:rsidRPr="001B54EC">
        <w:rPr>
          <w:rFonts w:ascii="Times New Roman" w:hAnsi="Times New Roman"/>
          <w:b/>
          <w:i/>
        </w:rPr>
        <w:t>How FCIs Have Been Constructed in Practice</w:t>
      </w:r>
    </w:p>
    <w:p w:rsidR="009210F9" w:rsidRPr="001B54EC" w:rsidRDefault="009210F9" w:rsidP="009210F9">
      <w:pPr>
        <w:rPr>
          <w:rFonts w:ascii="Times New Roman" w:hAnsi="Times New Roman"/>
          <w:b/>
        </w:rPr>
      </w:pPr>
    </w:p>
    <w:p w:rsidR="009210F9" w:rsidRPr="001B54EC" w:rsidRDefault="009210F9" w:rsidP="009210F9">
      <w:pPr>
        <w:rPr>
          <w:rFonts w:ascii="Times New Roman" w:hAnsi="Times New Roman"/>
        </w:rPr>
      </w:pPr>
      <w:r w:rsidRPr="001B54EC">
        <w:rPr>
          <w:rFonts w:ascii="Times New Roman" w:hAnsi="Times New Roman"/>
        </w:rPr>
        <w:t>Early research on financial conditions centered on the slope of the yield curve. Studies published in the late 1980s and early 1990s found the yield curve to be a reliable predictor of economic activity (Estrella and Hardouvelis, 1991; Harvey 1988; Laurent 1989; Stock and Watson, 1989).   The spread between the fed funds rate and 10-year Treasury yield has been a key component of the Conference Board’s index of leading indicators since 1996.  Credit risk</w:t>
      </w:r>
      <w:r>
        <w:rPr>
          <w:rFonts w:ascii="Times New Roman" w:hAnsi="Times New Roman"/>
        </w:rPr>
        <w:t xml:space="preserve">, as measured by </w:t>
      </w:r>
      <w:r w:rsidRPr="001B54EC">
        <w:rPr>
          <w:rFonts w:ascii="Times New Roman" w:hAnsi="Times New Roman"/>
        </w:rPr>
        <w:t>the commercial paper-Treasury bill spread</w:t>
      </w:r>
      <w:r>
        <w:rPr>
          <w:rFonts w:ascii="Times New Roman" w:hAnsi="Times New Roman"/>
        </w:rPr>
        <w:t>, h</w:t>
      </w:r>
      <w:r w:rsidRPr="001B54EC">
        <w:rPr>
          <w:rFonts w:ascii="Times New Roman" w:hAnsi="Times New Roman"/>
        </w:rPr>
        <w:t xml:space="preserve">as also been used as a leading indicator of output since the late 1980s (Friedman and Kuttner 1992; Stock and Watson, 1989), and Gilchrist, Yankov, and Zakrajšek (2009) have recently proposed improved credit risk spreads with good forecasting performance over the past decade.  The yield curve has been found to outperform other financial variables in terms of predicting recessions, though stock market performance has been found by some to be a useful recession predictor as well (Estrella and Mishkin, 1996).  Stock market variables have been included in indexes of leading indicators since the 1950s (Zarnowitz, 1992). </w:t>
      </w:r>
    </w:p>
    <w:p w:rsidR="009210F9" w:rsidRPr="001B54EC" w:rsidRDefault="009210F9" w:rsidP="009210F9">
      <w:pPr>
        <w:rPr>
          <w:rFonts w:ascii="Times New Roman" w:hAnsi="Times New Roman"/>
        </w:rPr>
      </w:pPr>
    </w:p>
    <w:p w:rsidR="009210F9" w:rsidRPr="001B54EC" w:rsidRDefault="009210F9" w:rsidP="009210F9">
      <w:pPr>
        <w:rPr>
          <w:rFonts w:ascii="Times New Roman" w:hAnsi="Times New Roman"/>
        </w:rPr>
      </w:pPr>
      <w:r w:rsidRPr="001B54EC">
        <w:rPr>
          <w:rFonts w:ascii="Times New Roman" w:hAnsi="Times New Roman"/>
        </w:rPr>
        <w:t>The Bank of Canada (BOC) pioneered work on broader financial condition measures in the mid-1990s, when it introduced its monetary conditions index (MCI, Freedman, 1994).  For the BOC, the exchange rate was the most important additional variable.  Its MCI, therefore, consisted of a weighted average of its refinancing rate and the exchange rate.  The weights were determined via simulations with macroeconomic models designed to quantify the relative effect of a given percentage change in each variable on GDP or final demand.  In the case of Canada, a relatively open economy, the exchange rate was given a weight equal to about one-third that of the refinancing rate.  For a more closed economy like the U</w:t>
      </w:r>
      <w:r>
        <w:rPr>
          <w:rFonts w:ascii="Times New Roman" w:hAnsi="Times New Roman"/>
        </w:rPr>
        <w:t xml:space="preserve">nited </w:t>
      </w:r>
      <w:r w:rsidRPr="001B54EC">
        <w:rPr>
          <w:rFonts w:ascii="Times New Roman" w:hAnsi="Times New Roman"/>
        </w:rPr>
        <w:t>S</w:t>
      </w:r>
      <w:r>
        <w:rPr>
          <w:rFonts w:ascii="Times New Roman" w:hAnsi="Times New Roman"/>
        </w:rPr>
        <w:t>tates</w:t>
      </w:r>
      <w:r w:rsidRPr="001B54EC">
        <w:rPr>
          <w:rFonts w:ascii="Times New Roman" w:hAnsi="Times New Roman"/>
        </w:rPr>
        <w:t xml:space="preserve">, the weight given to the exchange rate is considerably smaller.  The MCI was used to help evaluate how much adjustment in the refinancing rate might be needed to offset the macroeconomic effects of a swing in the exchange rate in order to maintain a desired stance of monetary conditions or degree of monetary accommodation.  </w:t>
      </w:r>
    </w:p>
    <w:p w:rsidR="009210F9" w:rsidRPr="001B54EC" w:rsidRDefault="009210F9" w:rsidP="009210F9">
      <w:pPr>
        <w:autoSpaceDE w:val="0"/>
        <w:autoSpaceDN w:val="0"/>
        <w:adjustRightInd w:val="0"/>
        <w:rPr>
          <w:rFonts w:ascii="Times New Roman" w:hAnsi="Times New Roman"/>
        </w:rPr>
      </w:pPr>
    </w:p>
    <w:p w:rsidR="009210F9" w:rsidRPr="001B54EC" w:rsidRDefault="009210F9" w:rsidP="009210F9">
      <w:pPr>
        <w:autoSpaceDE w:val="0"/>
        <w:autoSpaceDN w:val="0"/>
        <w:adjustRightInd w:val="0"/>
        <w:rPr>
          <w:rFonts w:ascii="Times New Roman" w:hAnsi="Times New Roman"/>
        </w:rPr>
      </w:pPr>
      <w:r w:rsidRPr="001B54EC">
        <w:rPr>
          <w:rFonts w:ascii="Times New Roman" w:hAnsi="Times New Roman"/>
        </w:rPr>
        <w:t xml:space="preserve">Over the course of the late 1990s, MCIs along the lines constructed by BOC became a widely used tool to assess the stance of monetary policy in many countries.  Moreover, the scope of variables augmenting the effects of policy rates was broadened to include long-term interest rates, equity prices, and even house prices (on the grounds that rising house prices increased the borrowing capacity of households).  These broader measures became known as financial condition indexes (FCIs) in order to distinguish them from MCIs.  </w:t>
      </w:r>
    </w:p>
    <w:p w:rsidR="009210F9" w:rsidRPr="001B54EC" w:rsidRDefault="009210F9" w:rsidP="009210F9">
      <w:pPr>
        <w:autoSpaceDE w:val="0"/>
        <w:autoSpaceDN w:val="0"/>
        <w:adjustRightInd w:val="0"/>
        <w:rPr>
          <w:rFonts w:ascii="Times New Roman" w:hAnsi="Times New Roman"/>
        </w:rPr>
      </w:pPr>
    </w:p>
    <w:p w:rsidR="009210F9" w:rsidRPr="001B54EC" w:rsidRDefault="009210F9" w:rsidP="009210F9">
      <w:pPr>
        <w:autoSpaceDE w:val="0"/>
        <w:autoSpaceDN w:val="0"/>
        <w:adjustRightInd w:val="0"/>
        <w:rPr>
          <w:rFonts w:ascii="Times New Roman" w:hAnsi="Times New Roman"/>
        </w:rPr>
      </w:pPr>
      <w:r w:rsidRPr="001B54EC">
        <w:rPr>
          <w:rFonts w:ascii="Times New Roman" w:hAnsi="Times New Roman"/>
        </w:rPr>
        <w:t xml:space="preserve">A variety of methodologies for constructing FCIs have been developed over time, and tend to fall into two broad categories: a weighted-sum approach and a principal-components approach.  In the weighted-sum approach, the weights on each financial variable are generally assigned based on estimates of the relative impacts of changes in the variables on real GDP.  These estimates or weights have been generated in a variety of ways, including simulations with large-scale macroeconomic models, vector autoregression (VAR) models, or reduced-form demand equations.  </w:t>
      </w:r>
    </w:p>
    <w:p w:rsidR="009210F9" w:rsidRPr="001B54EC" w:rsidRDefault="009210F9" w:rsidP="009210F9">
      <w:pPr>
        <w:autoSpaceDE w:val="0"/>
        <w:autoSpaceDN w:val="0"/>
        <w:adjustRightInd w:val="0"/>
        <w:rPr>
          <w:rFonts w:ascii="Times New Roman" w:hAnsi="Times New Roman"/>
        </w:rPr>
      </w:pPr>
    </w:p>
    <w:p w:rsidR="009210F9" w:rsidRPr="001B54EC" w:rsidRDefault="009210F9" w:rsidP="009210F9">
      <w:pPr>
        <w:autoSpaceDE w:val="0"/>
        <w:autoSpaceDN w:val="0"/>
        <w:adjustRightInd w:val="0"/>
        <w:rPr>
          <w:rFonts w:ascii="Times New Roman" w:hAnsi="Times New Roman"/>
        </w:rPr>
      </w:pPr>
      <w:r w:rsidRPr="001B54EC">
        <w:rPr>
          <w:rFonts w:ascii="Times New Roman" w:hAnsi="Times New Roman"/>
        </w:rPr>
        <w:t xml:space="preserve">The second broad approach is a principal components methodology, which extracts a common factor from a group of several financial variables.  This common factor captures the greatest common variation in the variables and is either used as the FCI or is added to the central bank policy rate to make up the FCI (this latter method is a combination of the weighted-sum approach and the principal-components approach).  </w:t>
      </w:r>
    </w:p>
    <w:p w:rsidR="009210F9" w:rsidRPr="001B54EC" w:rsidRDefault="009210F9" w:rsidP="009210F9">
      <w:pPr>
        <w:autoSpaceDE w:val="0"/>
        <w:autoSpaceDN w:val="0"/>
        <w:adjustRightInd w:val="0"/>
        <w:rPr>
          <w:rFonts w:ascii="Times New Roman" w:hAnsi="Times New Roman"/>
        </w:rPr>
      </w:pPr>
    </w:p>
    <w:p w:rsidR="009210F9" w:rsidRPr="001B54EC" w:rsidRDefault="009210F9" w:rsidP="009210F9">
      <w:pPr>
        <w:autoSpaceDE w:val="0"/>
        <w:autoSpaceDN w:val="0"/>
        <w:adjustRightInd w:val="0"/>
        <w:rPr>
          <w:rFonts w:ascii="Times New Roman" w:hAnsi="Times New Roman"/>
        </w:rPr>
      </w:pPr>
      <w:r w:rsidRPr="001B54EC">
        <w:rPr>
          <w:rFonts w:ascii="Times New Roman" w:hAnsi="Times New Roman"/>
        </w:rPr>
        <w:t xml:space="preserve">In most cases, financial condition indexes are based on the current value of financial variables, but some take into account lagged financial variables as well.  Some FCIs can be interpreted as the </w:t>
      </w:r>
      <w:r>
        <w:rPr>
          <w:rFonts w:ascii="Times New Roman" w:hAnsi="Times New Roman"/>
        </w:rPr>
        <w:t>summarizing the impact</w:t>
      </w:r>
      <w:r w:rsidRPr="001B54EC">
        <w:rPr>
          <w:rFonts w:ascii="Times New Roman" w:hAnsi="Times New Roman"/>
        </w:rPr>
        <w:t xml:space="preserve"> of financial conditions on growth, others can be interpreted as </w:t>
      </w:r>
      <w:r>
        <w:rPr>
          <w:rFonts w:ascii="Times New Roman" w:hAnsi="Times New Roman"/>
        </w:rPr>
        <w:t xml:space="preserve">measuring </w:t>
      </w:r>
      <w:r w:rsidRPr="001B54EC">
        <w:rPr>
          <w:rFonts w:ascii="Times New Roman" w:hAnsi="Times New Roman"/>
        </w:rPr>
        <w:t xml:space="preserve">whether financial conditions have tightened or loosened.  </w:t>
      </w:r>
    </w:p>
    <w:p w:rsidR="009210F9" w:rsidRPr="001B54EC" w:rsidRDefault="009210F9" w:rsidP="009210F9">
      <w:pPr>
        <w:autoSpaceDE w:val="0"/>
        <w:autoSpaceDN w:val="0"/>
        <w:adjustRightInd w:val="0"/>
        <w:rPr>
          <w:rFonts w:ascii="Times New Roman" w:hAnsi="Times New Roman"/>
        </w:rPr>
      </w:pPr>
    </w:p>
    <w:p w:rsidR="009210F9" w:rsidRPr="001B54EC" w:rsidRDefault="009210F9" w:rsidP="009210F9">
      <w:pPr>
        <w:autoSpaceDE w:val="0"/>
        <w:autoSpaceDN w:val="0"/>
        <w:adjustRightInd w:val="0"/>
        <w:rPr>
          <w:rFonts w:ascii="Times New Roman" w:eastAsia="Times New Roman" w:hAnsi="Times New Roman"/>
        </w:rPr>
      </w:pPr>
      <w:r w:rsidRPr="001B54EC">
        <w:rPr>
          <w:rFonts w:ascii="Times New Roman" w:hAnsi="Times New Roman"/>
        </w:rPr>
        <w:t xml:space="preserve">Though the specific variables included in various FCIs differ considerably, there are commonalities.  Most FCIs include some measure of short-term interest rates, long-term interest rates, risk premia, equity market performance, and exchange rates.  In the weighted-average approach, some FCIs use the outright levels of each variable, and some standardize the variables by subtracting the variable’s mean and dividing by its standard deviation in each case.  The components are predominantly rates or financial prices (or derivatives of prices).  In a few cases a stock market wealth or market capitalization variable is included.  </w:t>
      </w:r>
      <w:r w:rsidRPr="001B54EC">
        <w:rPr>
          <w:rFonts w:ascii="Times New Roman" w:eastAsia="Times New Roman" w:hAnsi="Times New Roman"/>
        </w:rPr>
        <w:t>One FCI uses a Federal Reserve survey of lending standards; another FCI incorporates energy prices and a measure of narrow money.  None of the FCIs include stock or flow measures of any broader categories of credit.</w:t>
      </w:r>
    </w:p>
    <w:p w:rsidR="009210F9" w:rsidRPr="001B54EC" w:rsidRDefault="009210F9" w:rsidP="009210F9">
      <w:pPr>
        <w:autoSpaceDE w:val="0"/>
        <w:autoSpaceDN w:val="0"/>
        <w:adjustRightInd w:val="0"/>
        <w:rPr>
          <w:rFonts w:ascii="Times New Roman" w:hAnsi="Times New Roman"/>
        </w:rPr>
      </w:pPr>
    </w:p>
    <w:p w:rsidR="009210F9" w:rsidRPr="001B54EC" w:rsidRDefault="009210F9" w:rsidP="009210F9">
      <w:pPr>
        <w:autoSpaceDE w:val="0"/>
        <w:autoSpaceDN w:val="0"/>
        <w:adjustRightInd w:val="0"/>
        <w:rPr>
          <w:rFonts w:ascii="Times New Roman" w:hAnsi="Times New Roman"/>
        </w:rPr>
      </w:pPr>
      <w:r w:rsidRPr="001B54EC">
        <w:rPr>
          <w:rFonts w:ascii="Times New Roman" w:hAnsi="Times New Roman"/>
        </w:rPr>
        <w:t>In what follows, we consider seven well-established FCIs: the Bloomberg FCI, the Citi FCI, the Deutsche Bank (DB) FCI, the Goldman Sachs (GS) FCI, the Kansas City Federal Reserve Financial Stress Index (KCFSI), the Macroeconomic Advisers Monetary and Financial Conditions Index, and the OECD FCI.  While a number of other FCIs have been developed, these particular indexes span a wide range of construction methodologies and financial variables, and most are generally available.</w:t>
      </w:r>
      <w:r w:rsidRPr="001B54EC">
        <w:rPr>
          <w:rStyle w:val="FootnoteReference"/>
          <w:rFonts w:ascii="Times New Roman" w:hAnsi="Times New Roman"/>
        </w:rPr>
        <w:footnoteReference w:id="4"/>
      </w:r>
      <w:r w:rsidRPr="001B54EC">
        <w:rPr>
          <w:rFonts w:ascii="Times New Roman" w:hAnsi="Times New Roman"/>
        </w:rPr>
        <w:t xml:space="preserve">  Figure 2.2 plots the various FCIs.  Table 2.1 includes a comprehensive list of the variables included in each index considered and Table 2.2 provides a summary of each index’s methodology.  A short description of each index follows.  </w:t>
      </w:r>
    </w:p>
    <w:p w:rsidR="009210F9" w:rsidRPr="001B54EC" w:rsidRDefault="009210F9" w:rsidP="009210F9">
      <w:pPr>
        <w:rPr>
          <w:rFonts w:ascii="Times New Roman" w:hAnsi="Times New Roman"/>
        </w:rPr>
      </w:pPr>
    </w:p>
    <w:p w:rsidR="009210F9" w:rsidRDefault="009210F9" w:rsidP="009210F9">
      <w:pPr>
        <w:rPr>
          <w:rFonts w:ascii="Times New Roman" w:hAnsi="Times New Roman"/>
          <w:i/>
        </w:rPr>
      </w:pPr>
    </w:p>
    <w:p w:rsidR="009210F9" w:rsidRPr="001B54EC" w:rsidRDefault="009210F9" w:rsidP="009210F9">
      <w:pPr>
        <w:rPr>
          <w:rFonts w:ascii="Times New Roman" w:hAnsi="Times New Roman"/>
          <w:i/>
        </w:rPr>
      </w:pPr>
      <w:r w:rsidRPr="001B54EC">
        <w:rPr>
          <w:rFonts w:ascii="Times New Roman" w:hAnsi="Times New Roman"/>
          <w:i/>
        </w:rPr>
        <w:t>Bloomberg Financial Conditions Index</w:t>
      </w:r>
    </w:p>
    <w:p w:rsidR="009210F9" w:rsidRPr="001B54EC" w:rsidRDefault="009210F9" w:rsidP="009210F9">
      <w:pPr>
        <w:rPr>
          <w:rFonts w:ascii="Times New Roman" w:hAnsi="Times New Roman"/>
        </w:rPr>
      </w:pPr>
      <w:r w:rsidRPr="001B54EC">
        <w:rPr>
          <w:rFonts w:ascii="Times New Roman" w:hAnsi="Times New Roman"/>
        </w:rPr>
        <w:t>The Bloomberg FCI is readily accessible to those in financial markets and updated daily, making it a convenient measure to track financial conditions.  The index is an equally weighted sum of three major sub-indexes: money market indicators (</w:t>
      </w:r>
      <w:r>
        <w:rPr>
          <w:rFonts w:ascii="Times New Roman" w:hAnsi="Times New Roman"/>
        </w:rPr>
        <w:t>one-third w</w:t>
      </w:r>
      <w:r w:rsidRPr="001B54EC">
        <w:rPr>
          <w:rFonts w:ascii="Times New Roman" w:hAnsi="Times New Roman"/>
        </w:rPr>
        <w:t>eight), bond market indicators (</w:t>
      </w:r>
      <w:r>
        <w:rPr>
          <w:rFonts w:ascii="Times New Roman" w:hAnsi="Times New Roman"/>
        </w:rPr>
        <w:t>one-third w</w:t>
      </w:r>
      <w:r w:rsidRPr="001B54EC">
        <w:rPr>
          <w:rFonts w:ascii="Times New Roman" w:hAnsi="Times New Roman"/>
        </w:rPr>
        <w:t>eight), and equity market indicators (</w:t>
      </w:r>
      <w:r>
        <w:rPr>
          <w:rFonts w:ascii="Times New Roman" w:hAnsi="Times New Roman"/>
        </w:rPr>
        <w:t>one-third w</w:t>
      </w:r>
      <w:r w:rsidRPr="001B54EC">
        <w:rPr>
          <w:rFonts w:ascii="Times New Roman" w:hAnsi="Times New Roman"/>
        </w:rPr>
        <w:t xml:space="preserve">eight) (Rosenberg, 2009).  Each major sub-index is then made up of a series of underlying indicators, which receive an equal weight in that sub- index.  Each indicator is standardized to show the number of standard deviations above or below the index’s 1991 to mid-2007 average (the Z-score).  The overall FCI is also standardized in that manner.  The index consists of 10 variables in total, with history available from 1991.  </w:t>
      </w:r>
    </w:p>
    <w:p w:rsidR="009210F9" w:rsidRPr="001B54EC" w:rsidRDefault="009210F9" w:rsidP="009210F9">
      <w:pPr>
        <w:rPr>
          <w:rFonts w:ascii="Times New Roman" w:hAnsi="Times New Roman"/>
        </w:rPr>
      </w:pPr>
    </w:p>
    <w:p w:rsidR="009210F9" w:rsidRPr="001B54EC" w:rsidRDefault="009210F9" w:rsidP="009210F9">
      <w:pPr>
        <w:rPr>
          <w:rFonts w:ascii="Times New Roman" w:hAnsi="Times New Roman"/>
          <w:i/>
        </w:rPr>
      </w:pPr>
      <w:r w:rsidRPr="001B54EC">
        <w:rPr>
          <w:rFonts w:ascii="Times New Roman" w:hAnsi="Times New Roman"/>
          <w:i/>
        </w:rPr>
        <w:t>Citi Financial Conditions Index</w:t>
      </w:r>
    </w:p>
    <w:p w:rsidR="009210F9" w:rsidRDefault="009210F9" w:rsidP="009210F9">
      <w:pPr>
        <w:rPr>
          <w:rFonts w:ascii="Times New Roman" w:hAnsi="Times New Roman"/>
        </w:rPr>
      </w:pPr>
      <w:r w:rsidRPr="00FE5D07">
        <w:rPr>
          <w:rFonts w:ascii="Times New Roman" w:hAnsi="Times New Roman"/>
        </w:rPr>
        <w:t>The Citi FCI is a weighted sum of six financial variables, where the weights were determined according to reduced-form forecasting equations of the Conference Board’s index of coincident indicators (the six-month percent change in the coincident index) (D’Antonio, 2008).  The variables in the index include corporate spreads, money supply, equity values, mortgage rates, the trade-weighted dollar, and energy prices; all nominal values are deflated.  The FCI uses various transformations and lags of the indicators, according to what anticipates movements in the coincident index</w:t>
      </w:r>
      <w:r w:rsidR="009C43EB">
        <w:rPr>
          <w:rFonts w:ascii="Times New Roman" w:hAnsi="Times New Roman"/>
        </w:rPr>
        <w:t xml:space="preserve"> at a horizon</w:t>
      </w:r>
      <w:r w:rsidR="009565F5">
        <w:rPr>
          <w:rFonts w:ascii="Times New Roman" w:hAnsi="Times New Roman"/>
        </w:rPr>
        <w:t xml:space="preserve"> of roughly six months.  </w:t>
      </w:r>
      <w:r w:rsidRPr="00FE5D07">
        <w:rPr>
          <w:rFonts w:ascii="Times New Roman" w:hAnsi="Times New Roman"/>
        </w:rPr>
        <w:t xml:space="preserve">  This index is available from 1983.</w:t>
      </w:r>
    </w:p>
    <w:p w:rsidR="009210F9" w:rsidRPr="001B54EC" w:rsidRDefault="009210F9" w:rsidP="009210F9">
      <w:pPr>
        <w:rPr>
          <w:rFonts w:ascii="Times New Roman" w:hAnsi="Times New Roman"/>
          <w:i/>
        </w:rPr>
      </w:pPr>
    </w:p>
    <w:p w:rsidR="009210F9" w:rsidRPr="001B54EC" w:rsidRDefault="009210F9" w:rsidP="009210F9">
      <w:pPr>
        <w:rPr>
          <w:rFonts w:ascii="Times New Roman" w:hAnsi="Times New Roman"/>
          <w:i/>
        </w:rPr>
      </w:pPr>
      <w:r w:rsidRPr="001B54EC">
        <w:rPr>
          <w:rFonts w:ascii="Times New Roman" w:hAnsi="Times New Roman"/>
          <w:i/>
        </w:rPr>
        <w:t xml:space="preserve">Deutsche Bank Financial Conditions Index </w:t>
      </w:r>
    </w:p>
    <w:p w:rsidR="009210F9" w:rsidRPr="001B54EC" w:rsidRDefault="009210F9" w:rsidP="009210F9">
      <w:pPr>
        <w:rPr>
          <w:rFonts w:ascii="Times New Roman" w:hAnsi="Times New Roman"/>
          <w:i/>
        </w:rPr>
      </w:pPr>
      <w:r w:rsidRPr="001B54EC">
        <w:rPr>
          <w:rFonts w:ascii="Times New Roman" w:hAnsi="Times New Roman"/>
        </w:rPr>
        <w:t xml:space="preserve">Deutsche Bank utilizes a principal components approach in its FCI (Hooper, Mayer and Slok, 2007; Hooper, Slok and Dobridge, 2010).  The first principal component is extracted from a set of seven standardized financial variables that include the exchange rate, and bond, stock, and housing market indicators.  The FCI is then set to the weighted sum of this principal component and the target federal funds rate, where the weights are determined in a regression of real GDP growth on the financial variables and lagged GDP growth.  The level of the index can be interpreted as the percentage point drag or boost to GDP from financial conditions at a point in time, depending on whether the index is negative or positive, respectively.  The Deutsche Bank index is available from 1983.  </w:t>
      </w:r>
    </w:p>
    <w:p w:rsidR="009210F9" w:rsidRPr="001B54EC" w:rsidRDefault="009210F9" w:rsidP="009210F9">
      <w:pPr>
        <w:rPr>
          <w:rFonts w:ascii="Times New Roman" w:hAnsi="Times New Roman"/>
          <w:i/>
        </w:rPr>
      </w:pPr>
    </w:p>
    <w:p w:rsidR="009210F9" w:rsidRPr="001B54EC" w:rsidRDefault="009210F9" w:rsidP="009210F9">
      <w:pPr>
        <w:rPr>
          <w:rFonts w:ascii="Times New Roman" w:hAnsi="Times New Roman"/>
          <w:i/>
        </w:rPr>
      </w:pPr>
      <w:r w:rsidRPr="001B54EC">
        <w:rPr>
          <w:rFonts w:ascii="Times New Roman" w:hAnsi="Times New Roman"/>
          <w:i/>
        </w:rPr>
        <w:t>Goldman Sachs Financial Conditions Index</w:t>
      </w:r>
    </w:p>
    <w:p w:rsidR="009210F9" w:rsidRDefault="009210F9" w:rsidP="009210F9">
      <w:pPr>
        <w:rPr>
          <w:rFonts w:ascii="Times New Roman" w:hAnsi="Times New Roman"/>
        </w:rPr>
      </w:pPr>
      <w:r w:rsidRPr="001B54EC">
        <w:rPr>
          <w:rFonts w:ascii="Times New Roman" w:hAnsi="Times New Roman"/>
        </w:rPr>
        <w:t>The Goldman Sachs FCI is a weighted sum of a short-term bond yield, a long-term corporate yield, the exchange rate, and a stock market variable (Dudley and Hatzius, 2000; Dudley, Hatzius and McKelvey, 2005).  The Federal Reserve Board’s macroeconomic model (the FRB/US model), together with Goldman Sachs modeling, were used to determine the weights.  Since 2005, the long-term corporate yield has been measured as a sum of the 10-year swap rate and the 10-year credit default swap spread (CDX); prior to 2005, the less-liquid Moody’s A-rated corporate bond index was used.  As the CDX only started trading in 2003, a longer-dated FCI—from 1980—was created by splicing the old and new indexes.  An increase in the Goldman Sachs FCI indicates tightening of financial conditions, and a decrease indicates easing.  The index is set so that October 20, 2003 = 100.   Unlike the other indexes, the Goldman Sachs index exhibits a noticeable downward trend because it uses levels of the financial variables, as opposed to using spreads or using changes in the variables as in most other indexes.</w:t>
      </w:r>
    </w:p>
    <w:p w:rsidR="009210F9" w:rsidRPr="001B54EC" w:rsidRDefault="009210F9" w:rsidP="009210F9">
      <w:pPr>
        <w:rPr>
          <w:rFonts w:ascii="Times New Roman" w:hAnsi="Times New Roman"/>
        </w:rPr>
      </w:pPr>
      <w:r w:rsidRPr="001B54EC">
        <w:rPr>
          <w:rFonts w:ascii="Times New Roman" w:hAnsi="Times New Roman"/>
        </w:rPr>
        <w:t xml:space="preserve">  </w:t>
      </w:r>
    </w:p>
    <w:p w:rsidR="009210F9" w:rsidRPr="001B54EC" w:rsidRDefault="009210F9" w:rsidP="009210F9">
      <w:pPr>
        <w:rPr>
          <w:rFonts w:ascii="Times New Roman" w:hAnsi="Times New Roman"/>
        </w:rPr>
      </w:pPr>
    </w:p>
    <w:p w:rsidR="009210F9" w:rsidRPr="001B54EC" w:rsidRDefault="009210F9" w:rsidP="009210F9">
      <w:pPr>
        <w:rPr>
          <w:rFonts w:ascii="Times New Roman" w:hAnsi="Times New Roman"/>
          <w:i/>
        </w:rPr>
      </w:pPr>
      <w:r w:rsidRPr="001B54EC">
        <w:rPr>
          <w:rFonts w:ascii="Times New Roman" w:hAnsi="Times New Roman"/>
          <w:i/>
        </w:rPr>
        <w:t xml:space="preserve">Federal Reserve </w:t>
      </w:r>
      <w:r>
        <w:rPr>
          <w:rFonts w:ascii="Times New Roman" w:hAnsi="Times New Roman"/>
          <w:i/>
        </w:rPr>
        <w:t xml:space="preserve">Bank of Kansas City </w:t>
      </w:r>
      <w:r w:rsidRPr="001B54EC">
        <w:rPr>
          <w:rFonts w:ascii="Times New Roman" w:hAnsi="Times New Roman"/>
          <w:i/>
        </w:rPr>
        <w:t>Financial Stress Index</w:t>
      </w:r>
    </w:p>
    <w:p w:rsidR="009210F9" w:rsidRPr="001B54EC" w:rsidDel="003B468B" w:rsidRDefault="009210F9" w:rsidP="009210F9">
      <w:pPr>
        <w:rPr>
          <w:rFonts w:ascii="Times New Roman" w:hAnsi="Times New Roman"/>
        </w:rPr>
      </w:pPr>
      <w:r w:rsidRPr="001B54EC">
        <w:rPr>
          <w:rFonts w:ascii="Times New Roman" w:hAnsi="Times New Roman"/>
        </w:rPr>
        <w:t xml:space="preserve">This index was developed in early 2009, and is a principal-components measure of 11 standardized financial indicators (Hakkio and Keeton, 2009).  The financial variables chosen by the Federal Reserve </w:t>
      </w:r>
      <w:r>
        <w:rPr>
          <w:rFonts w:ascii="Times New Roman" w:hAnsi="Times New Roman"/>
        </w:rPr>
        <w:t xml:space="preserve">Bank of Kansas City </w:t>
      </w:r>
      <w:r w:rsidRPr="001B54EC">
        <w:rPr>
          <w:rFonts w:ascii="Times New Roman" w:hAnsi="Times New Roman"/>
        </w:rPr>
        <w:t xml:space="preserve">can be divided into two categories: yield spreads and asset price behavior.  They </w:t>
      </w:r>
      <w:r>
        <w:rPr>
          <w:rFonts w:ascii="Times New Roman" w:hAnsi="Times New Roman"/>
        </w:rPr>
        <w:t>were chosen to satisfy three criteria</w:t>
      </w:r>
      <w:r w:rsidRPr="001B54EC">
        <w:rPr>
          <w:rFonts w:ascii="Times New Roman" w:hAnsi="Times New Roman"/>
        </w:rPr>
        <w:t xml:space="preserve">: 1) be available monthly </w:t>
      </w:r>
      <w:r>
        <w:rPr>
          <w:rFonts w:ascii="Times New Roman" w:hAnsi="Times New Roman"/>
        </w:rPr>
        <w:t xml:space="preserve">with a history extending back to </w:t>
      </w:r>
      <w:r w:rsidRPr="001B54EC">
        <w:rPr>
          <w:rFonts w:ascii="Times New Roman" w:hAnsi="Times New Roman"/>
        </w:rPr>
        <w:t>at least 1990; 2) be market prices or yields; and 3) represent at least one of five financial stress features that were identified by the Kansas City Fed</w:t>
      </w:r>
      <w:r>
        <w:rPr>
          <w:rFonts w:ascii="Times New Roman" w:hAnsi="Times New Roman"/>
        </w:rPr>
        <w:t>eral Reserve</w:t>
      </w:r>
      <w:r w:rsidRPr="001B54EC">
        <w:rPr>
          <w:rFonts w:ascii="Times New Roman" w:hAnsi="Times New Roman"/>
        </w:rPr>
        <w:t xml:space="preserve"> (including increased uncertainty about assets’ fundamental values, or decreased willingness to hold risky assets).  A positive index value indicates that financial stress is higher than its longer term average, and vice versa for a negative value.  The series is updated monthly and history is available from 1990. </w:t>
      </w:r>
    </w:p>
    <w:p w:rsidR="009210F9" w:rsidRPr="001B54EC" w:rsidRDefault="009210F9" w:rsidP="009210F9">
      <w:pPr>
        <w:rPr>
          <w:rFonts w:ascii="Times New Roman" w:hAnsi="Times New Roman"/>
        </w:rPr>
      </w:pPr>
      <w:r>
        <w:rPr>
          <w:rFonts w:ascii="Arial" w:hAnsi="Arial" w:cs="Arial"/>
          <w:color w:val="000D7A"/>
          <w:sz w:val="26"/>
          <w:szCs w:val="26"/>
        </w:rPr>
        <w:t> </w:t>
      </w:r>
    </w:p>
    <w:p w:rsidR="009210F9" w:rsidRPr="001B54EC" w:rsidRDefault="009210F9" w:rsidP="009210F9">
      <w:pPr>
        <w:rPr>
          <w:rFonts w:ascii="Times New Roman" w:hAnsi="Times New Roman"/>
          <w:i/>
        </w:rPr>
      </w:pPr>
      <w:r w:rsidRPr="001B54EC">
        <w:rPr>
          <w:rFonts w:ascii="Times New Roman" w:hAnsi="Times New Roman"/>
          <w:i/>
        </w:rPr>
        <w:t>Macroeconomic Advisers Monetary and Financial Conditions Index</w:t>
      </w:r>
    </w:p>
    <w:p w:rsidR="009210F9" w:rsidRPr="001B54EC" w:rsidRDefault="009210F9" w:rsidP="009210F9">
      <w:pPr>
        <w:autoSpaceDE w:val="0"/>
        <w:autoSpaceDN w:val="0"/>
        <w:adjustRightInd w:val="0"/>
        <w:rPr>
          <w:rFonts w:ascii="Times New Roman" w:hAnsi="Times New Roman"/>
        </w:rPr>
      </w:pPr>
      <w:r w:rsidRPr="001B54EC">
        <w:rPr>
          <w:rFonts w:ascii="Times New Roman" w:hAnsi="Times New Roman"/>
        </w:rPr>
        <w:t xml:space="preserve">Macroeconomic Advisers constructed its monetary and financial conditions index in the late 1990s to take into account the dynamic effects of financial variables on GDP over time (Macroeconomic Advisers, 1998).  They developed a “surface impulse response” methodology in aggregating the five different financial variables into an FCI: a </w:t>
      </w:r>
      <w:r>
        <w:rPr>
          <w:rFonts w:ascii="Times New Roman" w:hAnsi="Times New Roman"/>
        </w:rPr>
        <w:t xml:space="preserve">real </w:t>
      </w:r>
      <w:r w:rsidRPr="001B54EC">
        <w:rPr>
          <w:rFonts w:ascii="Times New Roman" w:hAnsi="Times New Roman"/>
        </w:rPr>
        <w:t xml:space="preserve">short rate, </w:t>
      </w:r>
      <w:r>
        <w:rPr>
          <w:rFonts w:ascii="Times New Roman" w:hAnsi="Times New Roman"/>
        </w:rPr>
        <w:t xml:space="preserve">real </w:t>
      </w:r>
      <w:r w:rsidRPr="001B54EC">
        <w:rPr>
          <w:rFonts w:ascii="Times New Roman" w:hAnsi="Times New Roman"/>
        </w:rPr>
        <w:t xml:space="preserve">long rate, dividend ratio, </w:t>
      </w:r>
      <w:r>
        <w:rPr>
          <w:rFonts w:ascii="Times New Roman" w:hAnsi="Times New Roman"/>
        </w:rPr>
        <w:t xml:space="preserve">real </w:t>
      </w:r>
      <w:r w:rsidRPr="001B54EC">
        <w:rPr>
          <w:rFonts w:ascii="Times New Roman" w:hAnsi="Times New Roman"/>
        </w:rPr>
        <w:t xml:space="preserve">exchange rate, and </w:t>
      </w:r>
      <w:r>
        <w:rPr>
          <w:rFonts w:ascii="Times New Roman" w:hAnsi="Times New Roman"/>
        </w:rPr>
        <w:t xml:space="preserve">real </w:t>
      </w:r>
      <w:r w:rsidRPr="001B54EC">
        <w:rPr>
          <w:rFonts w:ascii="Times New Roman" w:hAnsi="Times New Roman"/>
        </w:rPr>
        <w:t>stock market capitalization.  Response functions were generated by estimating the partial effects of changes in the financial variable on real GDP growth over time using simulations with MA’s large-scale macroeconomic model.  The response functions were then inverted and aggregated so that the MA FCI at any point in time shows the combined effects of current and past changes in each of the financial variables on real GDP growth in the current period.  The index incorporates 38 quarters of financial variable lags and is available from 1982</w:t>
      </w:r>
      <w:r>
        <w:rPr>
          <w:rFonts w:ascii="Times New Roman" w:hAnsi="Times New Roman"/>
        </w:rPr>
        <w:t>:</w:t>
      </w:r>
      <w:r w:rsidRPr="001B54EC">
        <w:rPr>
          <w:rFonts w:ascii="Times New Roman" w:hAnsi="Times New Roman"/>
        </w:rPr>
        <w:t xml:space="preserve">Q4.   </w:t>
      </w:r>
    </w:p>
    <w:p w:rsidR="009210F9" w:rsidRPr="001B54EC" w:rsidRDefault="009210F9" w:rsidP="009210F9">
      <w:pPr>
        <w:rPr>
          <w:rFonts w:ascii="Times New Roman" w:hAnsi="Times New Roman"/>
        </w:rPr>
      </w:pPr>
    </w:p>
    <w:p w:rsidR="009210F9" w:rsidRPr="001B54EC" w:rsidRDefault="009210F9" w:rsidP="009210F9">
      <w:pPr>
        <w:rPr>
          <w:rFonts w:ascii="Times New Roman" w:hAnsi="Times New Roman"/>
          <w:i/>
        </w:rPr>
      </w:pPr>
      <w:r w:rsidRPr="001B54EC">
        <w:rPr>
          <w:rFonts w:ascii="Times New Roman" w:hAnsi="Times New Roman"/>
          <w:i/>
        </w:rPr>
        <w:t>OECD Financial Conditions Index</w:t>
      </w:r>
    </w:p>
    <w:p w:rsidR="009210F9" w:rsidRPr="00874D51" w:rsidRDefault="009210F9" w:rsidP="009210F9">
      <w:pPr>
        <w:rPr>
          <w:rFonts w:ascii="Times New Roman" w:hAnsi="Times New Roman"/>
        </w:rPr>
      </w:pPr>
      <w:r w:rsidRPr="001B54EC">
        <w:rPr>
          <w:rFonts w:ascii="Times New Roman" w:hAnsi="Times New Roman"/>
        </w:rPr>
        <w:t xml:space="preserve">The OECD FCI was constructed in 2008 and is a weighted sum of six financial variables (Guichard and Turner, 2008), where the variables are weighted according to their effects on GDP over the next four to six quarters.  One major difference between this index and others is that it includes a variable for tightening of credit standards: the Federal Reserve Senior Loan Officer Survey’s series for the net percent of banks tightening standards for large and medium-sized firms.  The OECD set the index weights </w:t>
      </w:r>
      <w:r>
        <w:rPr>
          <w:rFonts w:ascii="Times New Roman" w:hAnsi="Times New Roman"/>
        </w:rPr>
        <w:t xml:space="preserve">from a regression of the output gap on a distributed lag of the financial indicators. </w:t>
      </w:r>
      <w:r w:rsidRPr="00874D51">
        <w:rPr>
          <w:rFonts w:ascii="Times New Roman" w:hAnsi="Times New Roman"/>
        </w:rPr>
        <w:t xml:space="preserve">The weights were normalized relative to the change in interest rates, so that a one unit increase in the FCI is equivalent to the GDP effects of a </w:t>
      </w:r>
      <w:r>
        <w:rPr>
          <w:rFonts w:ascii="Times New Roman" w:hAnsi="Times New Roman"/>
        </w:rPr>
        <w:t>one-</w:t>
      </w:r>
      <w:r w:rsidRPr="00874D51">
        <w:rPr>
          <w:rFonts w:ascii="Times New Roman" w:hAnsi="Times New Roman"/>
        </w:rPr>
        <w:t>percentage</w:t>
      </w:r>
      <w:r>
        <w:rPr>
          <w:rFonts w:ascii="Times New Roman" w:hAnsi="Times New Roman"/>
        </w:rPr>
        <w:t>-</w:t>
      </w:r>
      <w:r w:rsidRPr="00874D51">
        <w:rPr>
          <w:rFonts w:ascii="Times New Roman" w:hAnsi="Times New Roman"/>
        </w:rPr>
        <w:t>point increase in the real long-term interest rate.  A one</w:t>
      </w:r>
      <w:r>
        <w:rPr>
          <w:rFonts w:ascii="Times New Roman" w:hAnsi="Times New Roman"/>
        </w:rPr>
        <w:t>-</w:t>
      </w:r>
      <w:r w:rsidRPr="00874D51">
        <w:rPr>
          <w:rFonts w:ascii="Times New Roman" w:hAnsi="Times New Roman"/>
        </w:rPr>
        <w:t>unit increase in the FCI indicates that tighter financial conditions could reduce real GDP by about 0.6 percentage points over the next 4 to 6 quarters.  The OECD FCI has history back to 1995.</w:t>
      </w:r>
    </w:p>
    <w:p w:rsidR="009210F9" w:rsidRPr="00874D51" w:rsidRDefault="009210F9" w:rsidP="009210F9">
      <w:pPr>
        <w:rPr>
          <w:rFonts w:ascii="Times New Roman" w:hAnsi="Times New Roman"/>
        </w:rPr>
      </w:pPr>
    </w:p>
    <w:p w:rsidR="009210F9" w:rsidRPr="00874D51" w:rsidRDefault="009210F9" w:rsidP="009210F9">
      <w:pPr>
        <w:rPr>
          <w:rFonts w:ascii="Times New Roman" w:hAnsi="Times New Roman"/>
        </w:rPr>
      </w:pPr>
      <w:r w:rsidRPr="00874D51">
        <w:rPr>
          <w:rFonts w:ascii="Times New Roman" w:hAnsi="Times New Roman"/>
        </w:rPr>
        <w:t>When we compare movements in these different indexes in Figure 2.2, we see the following:</w:t>
      </w:r>
      <w:r>
        <w:rPr>
          <w:rFonts w:ascii="Times New Roman" w:hAnsi="Times New Roman"/>
        </w:rPr>
        <w:br/>
      </w:r>
      <w:r w:rsidRPr="00874D51">
        <w:rPr>
          <w:rFonts w:ascii="Times New Roman" w:hAnsi="Times New Roman"/>
        </w:rPr>
        <w:t xml:space="preserve"> </w:t>
      </w:r>
    </w:p>
    <w:p w:rsidR="009210F9" w:rsidRDefault="009210F9" w:rsidP="009210F9">
      <w:pPr>
        <w:numPr>
          <w:ilvl w:val="0"/>
          <w:numId w:val="1"/>
        </w:numPr>
        <w:rPr>
          <w:rFonts w:ascii="Times New Roman" w:hAnsi="Times New Roman"/>
        </w:rPr>
      </w:pPr>
      <w:r w:rsidRPr="00874D51">
        <w:rPr>
          <w:rFonts w:ascii="Times New Roman" w:hAnsi="Times New Roman"/>
        </w:rPr>
        <w:t xml:space="preserve">Despite wide ranges of coverage and methodologies, all the indexes show </w:t>
      </w:r>
      <w:r>
        <w:rPr>
          <w:rFonts w:ascii="Times New Roman" w:hAnsi="Times New Roman"/>
        </w:rPr>
        <w:t xml:space="preserve">a </w:t>
      </w:r>
      <w:r w:rsidRPr="00874D51">
        <w:rPr>
          <w:rFonts w:ascii="Times New Roman" w:hAnsi="Times New Roman"/>
        </w:rPr>
        <w:t xml:space="preserve">large deterioration </w:t>
      </w:r>
      <w:r>
        <w:rPr>
          <w:rFonts w:ascii="Times New Roman" w:hAnsi="Times New Roman"/>
        </w:rPr>
        <w:t xml:space="preserve">of financial conditions </w:t>
      </w:r>
      <w:r w:rsidRPr="00874D51">
        <w:rPr>
          <w:rFonts w:ascii="Times New Roman" w:hAnsi="Times New Roman"/>
        </w:rPr>
        <w:t xml:space="preserve">during the past two years and a strong bounce back (to about neutral) by the latter part of 2009.  </w:t>
      </w:r>
    </w:p>
    <w:p w:rsidR="009210F9" w:rsidRPr="00874D51" w:rsidRDefault="009210F9" w:rsidP="009210F9">
      <w:pPr>
        <w:numPr>
          <w:ilvl w:val="0"/>
          <w:numId w:val="1"/>
        </w:numPr>
        <w:rPr>
          <w:rFonts w:ascii="Times New Roman" w:hAnsi="Times New Roman"/>
        </w:rPr>
      </w:pPr>
      <w:r w:rsidRPr="00874D51">
        <w:rPr>
          <w:rFonts w:ascii="Times New Roman" w:hAnsi="Times New Roman"/>
        </w:rPr>
        <w:t>There is some noticeable disagreement about how stimulative financial conditions were during the years leading up to the current crisis, and about whether or not the deterioration in the recent crisis was unprecedented relative to experience over the past two decades.</w:t>
      </w:r>
    </w:p>
    <w:p w:rsidR="009210F9" w:rsidRPr="00874D51" w:rsidRDefault="009210F9" w:rsidP="009210F9">
      <w:pPr>
        <w:numPr>
          <w:ilvl w:val="0"/>
          <w:numId w:val="1"/>
        </w:numPr>
        <w:rPr>
          <w:rFonts w:ascii="Times New Roman" w:hAnsi="Times New Roman"/>
          <w:i/>
        </w:rPr>
      </w:pPr>
      <w:r w:rsidRPr="00874D51">
        <w:rPr>
          <w:rFonts w:ascii="Times New Roman" w:hAnsi="Times New Roman"/>
        </w:rPr>
        <w:t xml:space="preserve">Some of this disagreement may hinge on the relative weight placed on monetary policy, which tends to run counter to and mitigate the effects of swings in private market financial conditions.  </w:t>
      </w:r>
      <w:r>
        <w:rPr>
          <w:rFonts w:ascii="Times New Roman" w:hAnsi="Times New Roman"/>
        </w:rPr>
        <w:t>I</w:t>
      </w:r>
      <w:r w:rsidRPr="00874D51">
        <w:rPr>
          <w:rFonts w:ascii="Times New Roman" w:hAnsi="Times New Roman"/>
        </w:rPr>
        <w:t xml:space="preserve">ndexes that showed the deterioration of financial conditions during the recent crisis to be unprecedented did not include the level of fed funds or closely related short term rate.  </w:t>
      </w:r>
      <w:r>
        <w:rPr>
          <w:rFonts w:ascii="Times New Roman" w:hAnsi="Times New Roman"/>
        </w:rPr>
        <w:t>Indexes that</w:t>
      </w:r>
      <w:r w:rsidRPr="00874D51">
        <w:rPr>
          <w:rFonts w:ascii="Times New Roman" w:hAnsi="Times New Roman"/>
        </w:rPr>
        <w:t xml:space="preserve"> include</w:t>
      </w:r>
      <w:r>
        <w:rPr>
          <w:rFonts w:ascii="Times New Roman" w:hAnsi="Times New Roman"/>
        </w:rPr>
        <w:t xml:space="preserve"> the</w:t>
      </w:r>
      <w:r w:rsidRPr="00874D51">
        <w:rPr>
          <w:rFonts w:ascii="Times New Roman" w:hAnsi="Times New Roman"/>
        </w:rPr>
        <w:t xml:space="preserve"> level of </w:t>
      </w:r>
      <w:r>
        <w:rPr>
          <w:rFonts w:ascii="Times New Roman" w:hAnsi="Times New Roman"/>
        </w:rPr>
        <w:t xml:space="preserve">the </w:t>
      </w:r>
      <w:r w:rsidRPr="00874D51">
        <w:rPr>
          <w:rFonts w:ascii="Times New Roman" w:hAnsi="Times New Roman"/>
        </w:rPr>
        <w:t xml:space="preserve">policy rate or a close substitute showed the recent decline to be closer in magnitude to the decline that occurred around </w:t>
      </w:r>
      <w:r>
        <w:rPr>
          <w:rFonts w:ascii="Times New Roman" w:hAnsi="Times New Roman"/>
        </w:rPr>
        <w:t xml:space="preserve">the </w:t>
      </w:r>
      <w:r w:rsidRPr="00874D51">
        <w:rPr>
          <w:rFonts w:ascii="Times New Roman" w:hAnsi="Times New Roman"/>
        </w:rPr>
        <w:t xml:space="preserve">beginning of the decade. </w:t>
      </w:r>
    </w:p>
    <w:p w:rsidR="009210F9" w:rsidRPr="00874D51" w:rsidRDefault="009210F9" w:rsidP="009210F9">
      <w:pPr>
        <w:rPr>
          <w:rFonts w:ascii="Times New Roman" w:hAnsi="Times New Roman"/>
          <w:i/>
        </w:rPr>
      </w:pPr>
    </w:p>
    <w:p w:rsidR="009210F9" w:rsidRPr="00874D51" w:rsidRDefault="009210F9" w:rsidP="009210F9">
      <w:pPr>
        <w:rPr>
          <w:rFonts w:ascii="Times New Roman" w:hAnsi="Times New Roman"/>
        </w:rPr>
      </w:pPr>
    </w:p>
    <w:p w:rsidR="009210F9" w:rsidRPr="00874D51" w:rsidRDefault="009210F9" w:rsidP="009210F9">
      <w:pPr>
        <w:rPr>
          <w:rFonts w:ascii="Times New Roman" w:hAnsi="Times New Roman"/>
          <w:b/>
        </w:rPr>
      </w:pPr>
      <w:r w:rsidRPr="00874D51">
        <w:rPr>
          <w:rFonts w:ascii="Times New Roman" w:hAnsi="Times New Roman"/>
          <w:b/>
        </w:rPr>
        <w:t>3.  TESTING THE PREDICTIVE POWER OF FINANCIAL CONDITIONS</w:t>
      </w:r>
    </w:p>
    <w:p w:rsidR="009210F9" w:rsidRPr="00874D51" w:rsidRDefault="009210F9" w:rsidP="009210F9">
      <w:pPr>
        <w:rPr>
          <w:rFonts w:ascii="Times New Roman" w:hAnsi="Times New Roman"/>
        </w:rPr>
      </w:pPr>
    </w:p>
    <w:p w:rsidR="009210F9" w:rsidRPr="00874D51" w:rsidRDefault="009210F9" w:rsidP="009210F9">
      <w:pPr>
        <w:rPr>
          <w:rFonts w:ascii="Times New Roman" w:hAnsi="Times New Roman"/>
        </w:rPr>
      </w:pPr>
      <w:r w:rsidRPr="00874D51">
        <w:rPr>
          <w:rFonts w:ascii="Times New Roman" w:hAnsi="Times New Roman"/>
        </w:rPr>
        <w:t>In this section we turn to an empirical investigation of how well financial conditions anticipate movements in real economic activity.  We begin by assessing the predictive performance of single financial variables that have been viewed as useful leading indicators</w:t>
      </w:r>
      <w:r>
        <w:rPr>
          <w:rFonts w:ascii="Times New Roman" w:hAnsi="Times New Roman"/>
        </w:rPr>
        <w:t xml:space="preserve"> </w:t>
      </w:r>
      <w:r w:rsidRPr="00874D51">
        <w:rPr>
          <w:rFonts w:ascii="Times New Roman" w:hAnsi="Times New Roman"/>
        </w:rPr>
        <w:t xml:space="preserve">— the term spread, stock returns, and so on.  We then turn to the performance of the broader measures of financial conditions as captured by the FCIs discussed in Section 2.  </w:t>
      </w:r>
    </w:p>
    <w:p w:rsidR="009210F9" w:rsidRPr="00874D51" w:rsidRDefault="009210F9" w:rsidP="009210F9">
      <w:pPr>
        <w:rPr>
          <w:rFonts w:ascii="Times New Roman" w:hAnsi="Times New Roman"/>
        </w:rPr>
      </w:pPr>
    </w:p>
    <w:p w:rsidR="009210F9" w:rsidRPr="00874D51" w:rsidRDefault="009210F9" w:rsidP="009210F9">
      <w:pPr>
        <w:rPr>
          <w:rFonts w:ascii="Times New Roman" w:hAnsi="Times New Roman"/>
          <w:b/>
          <w:i/>
        </w:rPr>
      </w:pPr>
      <w:r w:rsidRPr="00874D51">
        <w:rPr>
          <w:rFonts w:ascii="Times New Roman" w:hAnsi="Times New Roman"/>
          <w:b/>
        </w:rPr>
        <w:t xml:space="preserve">3.1 </w:t>
      </w:r>
      <w:r w:rsidRPr="00874D51">
        <w:rPr>
          <w:rFonts w:ascii="Times New Roman" w:hAnsi="Times New Roman"/>
          <w:b/>
          <w:i/>
        </w:rPr>
        <w:t>Prediction Tests with Single-Variable Financial  Indicators.</w:t>
      </w:r>
    </w:p>
    <w:p w:rsidR="009210F9" w:rsidRPr="00874D51" w:rsidRDefault="009210F9" w:rsidP="009210F9">
      <w:pPr>
        <w:rPr>
          <w:rFonts w:ascii="Times New Roman" w:hAnsi="Times New Roman"/>
          <w:b/>
          <w:i/>
        </w:rPr>
      </w:pPr>
    </w:p>
    <w:p w:rsidR="009210F9" w:rsidRDefault="009210F9" w:rsidP="009210F9">
      <w:pPr>
        <w:rPr>
          <w:rFonts w:ascii="Times New Roman" w:hAnsi="Times New Roman"/>
        </w:rPr>
      </w:pPr>
      <w:r w:rsidRPr="00874D51">
        <w:rPr>
          <w:rFonts w:ascii="Times New Roman" w:hAnsi="Times New Roman"/>
        </w:rPr>
        <w:t xml:space="preserve">To </w:t>
      </w:r>
      <w:r>
        <w:rPr>
          <w:rFonts w:ascii="Times New Roman" w:hAnsi="Times New Roman"/>
        </w:rPr>
        <w:t>establish</w:t>
      </w:r>
      <w:r w:rsidRPr="00874D51">
        <w:rPr>
          <w:rFonts w:ascii="Times New Roman" w:hAnsi="Times New Roman"/>
        </w:rPr>
        <w:t xml:space="preserve"> a baseline for judging performance, we begin by assessing the predictive performance of </w:t>
      </w:r>
      <w:r>
        <w:rPr>
          <w:rFonts w:ascii="Times New Roman" w:hAnsi="Times New Roman"/>
        </w:rPr>
        <w:t>five</w:t>
      </w:r>
      <w:r w:rsidRPr="00874D51">
        <w:rPr>
          <w:rFonts w:ascii="Times New Roman" w:hAnsi="Times New Roman"/>
        </w:rPr>
        <w:t xml:space="preserve"> individual financial variables that are commonly considered to be useful leading indicators</w:t>
      </w:r>
      <w:r>
        <w:rPr>
          <w:rFonts w:ascii="Times New Roman" w:hAnsi="Times New Roman"/>
        </w:rPr>
        <w:t>:</w:t>
      </w:r>
    </w:p>
    <w:p w:rsidR="009210F9" w:rsidRDefault="009210F9" w:rsidP="009210F9">
      <w:pPr>
        <w:rPr>
          <w:rFonts w:ascii="Times New Roman" w:hAnsi="Times New Roman"/>
        </w:rPr>
      </w:pPr>
    </w:p>
    <w:p w:rsidR="009210F9" w:rsidRDefault="009210F9" w:rsidP="009210F9">
      <w:pPr>
        <w:rPr>
          <w:rFonts w:ascii="Times New Roman" w:hAnsi="Times New Roman"/>
        </w:rPr>
      </w:pPr>
      <w:r>
        <w:rPr>
          <w:rFonts w:ascii="Times New Roman" w:hAnsi="Times New Roman"/>
        </w:rPr>
        <w:t>1. T</w:t>
      </w:r>
      <w:r w:rsidRPr="00874D51">
        <w:rPr>
          <w:rFonts w:ascii="Times New Roman" w:hAnsi="Times New Roman"/>
        </w:rPr>
        <w:t>he term spread (the spread between 10-year Treasury notes and the federal funds rate)</w:t>
      </w:r>
      <w:r>
        <w:rPr>
          <w:rFonts w:ascii="Times New Roman" w:hAnsi="Times New Roman"/>
        </w:rPr>
        <w:t>.</w:t>
      </w:r>
    </w:p>
    <w:p w:rsidR="009210F9" w:rsidRDefault="009210F9" w:rsidP="009210F9">
      <w:pPr>
        <w:rPr>
          <w:rFonts w:ascii="Times New Roman" w:hAnsi="Times New Roman"/>
        </w:rPr>
      </w:pPr>
      <w:r>
        <w:rPr>
          <w:rFonts w:ascii="Times New Roman" w:hAnsi="Times New Roman"/>
        </w:rPr>
        <w:t>2. R</w:t>
      </w:r>
      <w:r w:rsidRPr="00874D51">
        <w:rPr>
          <w:rFonts w:ascii="Times New Roman" w:hAnsi="Times New Roman"/>
        </w:rPr>
        <w:t>eal M2 (nominal M2 deflated by the personal consumption expenditures deflator)</w:t>
      </w:r>
      <w:r>
        <w:rPr>
          <w:rFonts w:ascii="Times New Roman" w:hAnsi="Times New Roman"/>
        </w:rPr>
        <w:t>.</w:t>
      </w:r>
    </w:p>
    <w:p w:rsidR="009210F9" w:rsidRDefault="009210F9" w:rsidP="009210F9">
      <w:pPr>
        <w:rPr>
          <w:rFonts w:ascii="Times New Roman" w:hAnsi="Times New Roman"/>
        </w:rPr>
      </w:pPr>
      <w:r>
        <w:rPr>
          <w:rFonts w:ascii="Times New Roman" w:hAnsi="Times New Roman"/>
        </w:rPr>
        <w:t>3. T</w:t>
      </w:r>
      <w:r w:rsidRPr="00874D51">
        <w:rPr>
          <w:rFonts w:ascii="Times New Roman" w:hAnsi="Times New Roman"/>
        </w:rPr>
        <w:t>he S&amp;P 500 stock price index</w:t>
      </w:r>
      <w:r>
        <w:rPr>
          <w:rFonts w:ascii="Times New Roman" w:hAnsi="Times New Roman"/>
        </w:rPr>
        <w:t>.</w:t>
      </w:r>
    </w:p>
    <w:p w:rsidR="009210F9" w:rsidRDefault="009210F9" w:rsidP="009210F9">
      <w:pPr>
        <w:rPr>
          <w:rFonts w:ascii="Times New Roman" w:hAnsi="Times New Roman"/>
        </w:rPr>
      </w:pPr>
      <w:r>
        <w:rPr>
          <w:rFonts w:ascii="Times New Roman" w:hAnsi="Times New Roman"/>
        </w:rPr>
        <w:t>4. The level of the federal funds rate as a key indicator of monetary policy.</w:t>
      </w:r>
    </w:p>
    <w:p w:rsidR="009210F9" w:rsidRDefault="009210F9" w:rsidP="009210F9">
      <w:pPr>
        <w:rPr>
          <w:rFonts w:ascii="Times New Roman" w:hAnsi="Times New Roman"/>
        </w:rPr>
      </w:pPr>
      <w:r>
        <w:rPr>
          <w:rFonts w:ascii="Times New Roman" w:hAnsi="Times New Roman"/>
        </w:rPr>
        <w:t>5. The short-term credit spread (</w:t>
      </w:r>
      <w:r w:rsidRPr="00874D51">
        <w:rPr>
          <w:rFonts w:ascii="Times New Roman" w:hAnsi="Times New Roman"/>
        </w:rPr>
        <w:t>the spread between the three-month commercial paper rate and the three-month Treasury bill rate</w:t>
      </w:r>
      <w:r>
        <w:rPr>
          <w:rFonts w:ascii="Times New Roman" w:hAnsi="Times New Roman"/>
        </w:rPr>
        <w:t>).</w:t>
      </w:r>
    </w:p>
    <w:p w:rsidR="009210F9" w:rsidRDefault="009210F9" w:rsidP="009210F9">
      <w:pPr>
        <w:rPr>
          <w:rFonts w:ascii="Times New Roman" w:hAnsi="Times New Roman"/>
        </w:rPr>
      </w:pPr>
    </w:p>
    <w:p w:rsidR="009210F9" w:rsidRPr="00874D51" w:rsidRDefault="009210F9" w:rsidP="009210F9">
      <w:pPr>
        <w:rPr>
          <w:rFonts w:ascii="Times New Roman" w:hAnsi="Times New Roman"/>
        </w:rPr>
      </w:pPr>
      <w:r>
        <w:rPr>
          <w:rFonts w:ascii="Times New Roman" w:hAnsi="Times New Roman"/>
        </w:rPr>
        <w:t>The first three of these</w:t>
      </w:r>
      <w:r w:rsidRPr="00874D51">
        <w:rPr>
          <w:rFonts w:ascii="Times New Roman" w:hAnsi="Times New Roman"/>
        </w:rPr>
        <w:t xml:space="preserve"> are well established as the financial components of the Conference Board’s index of leading indicators.  </w:t>
      </w:r>
      <w:r>
        <w:rPr>
          <w:rFonts w:ascii="Times New Roman" w:hAnsi="Times New Roman"/>
        </w:rPr>
        <w:t>The other two are commonly used as well.</w:t>
      </w:r>
      <w:r w:rsidRPr="00874D51">
        <w:rPr>
          <w:rStyle w:val="FootnoteReference"/>
          <w:rFonts w:ascii="Times New Roman" w:hAnsi="Times New Roman"/>
        </w:rPr>
        <w:footnoteReference w:id="5"/>
      </w:r>
    </w:p>
    <w:p w:rsidR="009210F9" w:rsidRPr="00874D51" w:rsidRDefault="009210F9" w:rsidP="009210F9">
      <w:pPr>
        <w:rPr>
          <w:rFonts w:ascii="Times New Roman" w:hAnsi="Times New Roman"/>
        </w:rPr>
      </w:pPr>
    </w:p>
    <w:p w:rsidR="009210F9" w:rsidRPr="00874D51" w:rsidRDefault="009210F9" w:rsidP="009210F9">
      <w:pPr>
        <w:rPr>
          <w:rFonts w:ascii="Times New Roman" w:hAnsi="Times New Roman"/>
        </w:rPr>
      </w:pPr>
      <w:r w:rsidRPr="00874D51">
        <w:rPr>
          <w:rFonts w:ascii="Times New Roman" w:hAnsi="Times New Roman"/>
        </w:rPr>
        <w:t>To gauge the performance of these five indicators, we considered their ability to predict (over horizons of two and four quarters ahead) the growth of four different measures of real economic activity: real GDP, payroll employment, the index of industrial production (IP), and the civilian unemployment rate.   Our interest was in determining how well the financial variables would perform after taking into account each activity variable’s autoregressive structure (the ability of the variable’s recent historical movements to predict its future movements).  The analysis was done both in-sample and post-sample</w:t>
      </w:r>
      <w:r>
        <w:rPr>
          <w:rFonts w:ascii="Times New Roman" w:hAnsi="Times New Roman"/>
        </w:rPr>
        <w:t>.  Our approach is in the spirit of Bernanke (1990), who tested the marginal forecasting power of various interest rate spreads for economic activity and inflation after taking into account the autoregressive structure of each variable.</w:t>
      </w:r>
    </w:p>
    <w:p w:rsidR="009210F9" w:rsidRPr="00874D51" w:rsidRDefault="009210F9" w:rsidP="009210F9">
      <w:pPr>
        <w:ind w:left="720"/>
        <w:rPr>
          <w:rFonts w:ascii="Times New Roman" w:hAnsi="Times New Roman"/>
        </w:rPr>
      </w:pPr>
    </w:p>
    <w:p w:rsidR="009210F9" w:rsidRPr="00874D51" w:rsidRDefault="009210F9" w:rsidP="009210F9">
      <w:pPr>
        <w:rPr>
          <w:rFonts w:ascii="Times New Roman" w:hAnsi="Times New Roman"/>
        </w:rPr>
      </w:pPr>
      <w:r w:rsidRPr="00874D51">
        <w:rPr>
          <w:rFonts w:ascii="Times New Roman" w:hAnsi="Times New Roman"/>
        </w:rPr>
        <w:t xml:space="preserve">The in-sample regression specification we employed was: </w:t>
      </w:r>
    </w:p>
    <w:p w:rsidR="009210F9" w:rsidRPr="00874D51" w:rsidRDefault="009210F9" w:rsidP="009210F9">
      <w:pPr>
        <w:rPr>
          <w:rFonts w:ascii="Times New Roman" w:hAnsi="Times New Roman"/>
        </w:rPr>
      </w:pPr>
    </w:p>
    <w:p w:rsidR="009210F9" w:rsidRPr="00874D51" w:rsidRDefault="009210F9" w:rsidP="009210F9">
      <w:pPr>
        <w:rPr>
          <w:rFonts w:ascii="Times New Roman" w:hAnsi="Times New Roman"/>
        </w:rPr>
      </w:pPr>
      <w:r w:rsidRPr="00874D51">
        <w:rPr>
          <w:rFonts w:ascii="Times New Roman" w:hAnsi="Times New Roman"/>
        </w:rPr>
        <w:tab/>
        <w:t xml:space="preserve">  </w:t>
      </w:r>
      <w:r w:rsidRPr="00874D51">
        <w:rPr>
          <w:rFonts w:ascii="Times New Roman" w:hAnsi="Times New Roman"/>
          <w:position w:val="-28"/>
        </w:rPr>
        <w:object w:dxaOrig="41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5pt;height:34.9pt" o:ole="">
            <v:imagedata r:id="rId9" o:title=""/>
          </v:shape>
          <o:OLEObject Type="Embed" ProgID="Equation.DSMT4" ShapeID="_x0000_i1025" DrawAspect="Content" ObjectID="_1332680854" r:id="rId10"/>
        </w:object>
      </w:r>
      <w:r w:rsidRPr="00874D51">
        <w:rPr>
          <w:rFonts w:ascii="Times New Roman" w:hAnsi="Times New Roman"/>
        </w:rPr>
        <w:t xml:space="preserve"> </w:t>
      </w:r>
      <w:r w:rsidRPr="00874D51">
        <w:rPr>
          <w:rFonts w:ascii="Times New Roman" w:hAnsi="Times New Roman"/>
        </w:rPr>
        <w:tab/>
      </w:r>
      <w:r w:rsidRPr="00874D51">
        <w:rPr>
          <w:rFonts w:ascii="Times New Roman" w:hAnsi="Times New Roman"/>
        </w:rPr>
        <w:tab/>
      </w:r>
      <w:r w:rsidRPr="00874D51">
        <w:rPr>
          <w:rFonts w:ascii="Times New Roman" w:hAnsi="Times New Roman"/>
        </w:rPr>
        <w:tab/>
      </w:r>
      <w:r w:rsidRPr="00874D51">
        <w:rPr>
          <w:rFonts w:ascii="Times New Roman" w:hAnsi="Times New Roman"/>
        </w:rPr>
        <w:tab/>
        <w:t>(1)</w:t>
      </w:r>
    </w:p>
    <w:p w:rsidR="009210F9" w:rsidRPr="00874D51" w:rsidRDefault="009210F9" w:rsidP="009210F9">
      <w:pPr>
        <w:rPr>
          <w:rFonts w:ascii="Times New Roman" w:hAnsi="Times New Roman"/>
          <w:i/>
        </w:rPr>
      </w:pPr>
    </w:p>
    <w:p w:rsidR="009210F9" w:rsidRPr="00874D51" w:rsidRDefault="009210F9" w:rsidP="009210F9">
      <w:pPr>
        <w:pStyle w:val="ColorfulList-Accent11"/>
        <w:ind w:left="0"/>
        <w:rPr>
          <w:szCs w:val="24"/>
        </w:rPr>
      </w:pPr>
      <w:r w:rsidRPr="00874D51">
        <w:rPr>
          <w:szCs w:val="24"/>
        </w:rPr>
        <w:t xml:space="preserve">where </w:t>
      </w:r>
      <w:r w:rsidRPr="00874D51">
        <w:rPr>
          <w:i/>
          <w:szCs w:val="24"/>
        </w:rPr>
        <w:t>y</w:t>
      </w:r>
      <w:r w:rsidRPr="00874D51">
        <w:rPr>
          <w:i/>
          <w:szCs w:val="24"/>
          <w:vertAlign w:val="subscript"/>
        </w:rPr>
        <w:t xml:space="preserve">t </w:t>
      </w:r>
      <w:r w:rsidRPr="00874D51">
        <w:rPr>
          <w:szCs w:val="24"/>
        </w:rPr>
        <w:t xml:space="preserve"> denotes the real activity indicator (the logarithms of real GDP, employment, or IP or the level of unemployment rate), and </w:t>
      </w:r>
      <w:r w:rsidRPr="00874D51">
        <w:rPr>
          <w:i/>
          <w:szCs w:val="24"/>
        </w:rPr>
        <w:t>x</w:t>
      </w:r>
      <w:r w:rsidRPr="00874D51">
        <w:rPr>
          <w:i/>
          <w:szCs w:val="24"/>
          <w:vertAlign w:val="subscript"/>
        </w:rPr>
        <w:t>t</w:t>
      </w:r>
      <w:r w:rsidRPr="00874D51">
        <w:rPr>
          <w:szCs w:val="24"/>
        </w:rPr>
        <w:t xml:space="preserve"> denotes the financial indicator (the first difference of the federal funds rate, the first difference of the logarithm of real M2, the first difference of the logarithm of the SP500, or the level of the interest rate spreads).  Our data are quarterly, and </w:t>
      </w:r>
      <w:r w:rsidRPr="00874D51">
        <w:rPr>
          <w:i/>
          <w:szCs w:val="24"/>
        </w:rPr>
        <w:t xml:space="preserve">h </w:t>
      </w:r>
      <w:r w:rsidRPr="00874D51">
        <w:rPr>
          <w:szCs w:val="24"/>
        </w:rPr>
        <w:t xml:space="preserve">denotes the forecast horizon (so that </w:t>
      </w:r>
      <w:r w:rsidRPr="00874D51">
        <w:rPr>
          <w:i/>
          <w:szCs w:val="24"/>
        </w:rPr>
        <w:t xml:space="preserve">h </w:t>
      </w:r>
      <w:r w:rsidRPr="00874D51">
        <w:rPr>
          <w:szCs w:val="24"/>
        </w:rPr>
        <w:t xml:space="preserve">= 2 or 4 quarters).  The parameters </w:t>
      </w:r>
      <w:r w:rsidRPr="00874D51">
        <w:rPr>
          <w:i/>
          <w:szCs w:val="24"/>
        </w:rPr>
        <w:t>p</w:t>
      </w:r>
      <w:r w:rsidRPr="00874D51">
        <w:rPr>
          <w:i/>
          <w:szCs w:val="24"/>
          <w:vertAlign w:val="subscript"/>
        </w:rPr>
        <w:t>y</w:t>
      </w:r>
      <w:r w:rsidRPr="00874D51">
        <w:rPr>
          <w:szCs w:val="24"/>
        </w:rPr>
        <w:t xml:space="preserve"> and </w:t>
      </w:r>
      <w:r w:rsidRPr="00874D51">
        <w:rPr>
          <w:i/>
          <w:szCs w:val="24"/>
        </w:rPr>
        <w:t>p</w:t>
      </w:r>
      <w:r w:rsidRPr="00874D51">
        <w:rPr>
          <w:i/>
          <w:szCs w:val="24"/>
          <w:vertAlign w:val="subscript"/>
        </w:rPr>
        <w:t>x</w:t>
      </w:r>
      <w:r w:rsidRPr="00874D51">
        <w:rPr>
          <w:szCs w:val="24"/>
        </w:rPr>
        <w:t xml:space="preserve"> denote the number of lags of </w:t>
      </w:r>
      <w:r w:rsidRPr="00874D51">
        <w:rPr>
          <w:szCs w:val="24"/>
        </w:rPr>
        <w:sym w:font="Symbol" w:char="F044"/>
      </w:r>
      <w:r w:rsidRPr="00874D51">
        <w:rPr>
          <w:i/>
          <w:szCs w:val="24"/>
        </w:rPr>
        <w:t xml:space="preserve">y </w:t>
      </w:r>
      <w:r w:rsidRPr="00874D51">
        <w:rPr>
          <w:szCs w:val="24"/>
        </w:rPr>
        <w:t xml:space="preserve">and </w:t>
      </w:r>
      <w:r w:rsidRPr="00874D51">
        <w:rPr>
          <w:i/>
          <w:szCs w:val="24"/>
        </w:rPr>
        <w:t>x</w:t>
      </w:r>
      <w:r w:rsidRPr="00874D51">
        <w:rPr>
          <w:szCs w:val="24"/>
        </w:rPr>
        <w:t xml:space="preserve"> used in the regressions, which were fixed at </w:t>
      </w:r>
      <w:r w:rsidRPr="00874D51">
        <w:rPr>
          <w:i/>
          <w:szCs w:val="24"/>
        </w:rPr>
        <w:t>p</w:t>
      </w:r>
      <w:r w:rsidRPr="00874D51">
        <w:rPr>
          <w:i/>
          <w:szCs w:val="24"/>
          <w:vertAlign w:val="subscript"/>
        </w:rPr>
        <w:t>y</w:t>
      </w:r>
      <w:r w:rsidRPr="00874D51">
        <w:rPr>
          <w:szCs w:val="24"/>
        </w:rPr>
        <w:t xml:space="preserve"> = </w:t>
      </w:r>
      <w:r w:rsidRPr="00874D51">
        <w:rPr>
          <w:i/>
          <w:szCs w:val="24"/>
        </w:rPr>
        <w:t>p</w:t>
      </w:r>
      <w:r w:rsidRPr="00874D51">
        <w:rPr>
          <w:i/>
          <w:szCs w:val="24"/>
          <w:vertAlign w:val="subscript"/>
        </w:rPr>
        <w:t>x</w:t>
      </w:r>
      <w:r w:rsidRPr="00874D51">
        <w:rPr>
          <w:szCs w:val="24"/>
        </w:rPr>
        <w:t xml:space="preserve"> =  4 for the in-sample analysis.</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b/>
          <w:szCs w:val="24"/>
        </w:rPr>
      </w:pPr>
      <w:r w:rsidRPr="00874D51">
        <w:rPr>
          <w:b/>
          <w:szCs w:val="24"/>
        </w:rPr>
        <w:t xml:space="preserve">In-sample results.  </w:t>
      </w:r>
    </w:p>
    <w:p w:rsidR="009210F9" w:rsidRPr="00874D51" w:rsidRDefault="009210F9" w:rsidP="009210F9">
      <w:pPr>
        <w:pStyle w:val="ColorfulList-Accent11"/>
        <w:ind w:left="0"/>
        <w:rPr>
          <w:szCs w:val="24"/>
        </w:rPr>
      </w:pPr>
      <w:r w:rsidRPr="00874D51">
        <w:rPr>
          <w:szCs w:val="24"/>
        </w:rPr>
        <w:t>Table 3.1 shows results for these in-sample regressions estimated using data for most of the past five decades, but not including the current recession (</w:t>
      </w:r>
      <w:r w:rsidRPr="00874D51">
        <w:rPr>
          <w:i/>
          <w:szCs w:val="24"/>
        </w:rPr>
        <w:t xml:space="preserve">t </w:t>
      </w:r>
      <w:r w:rsidRPr="00874D51">
        <w:rPr>
          <w:szCs w:val="24"/>
        </w:rPr>
        <w:t>= 1961</w:t>
      </w:r>
      <w:r>
        <w:rPr>
          <w:szCs w:val="24"/>
        </w:rPr>
        <w:t>:Q1</w:t>
      </w:r>
      <w:r w:rsidRPr="00874D51">
        <w:rPr>
          <w:szCs w:val="24"/>
        </w:rPr>
        <w:t xml:space="preserve"> – 2006:</w:t>
      </w:r>
      <w:r>
        <w:rPr>
          <w:szCs w:val="24"/>
        </w:rPr>
        <w:t>Q4</w:t>
      </w:r>
      <w:r w:rsidRPr="00874D51">
        <w:rPr>
          <w:szCs w:val="24"/>
        </w:rPr>
        <w:t xml:space="preserve">). (Forecasts for the current recession are </w:t>
      </w:r>
      <w:r>
        <w:rPr>
          <w:szCs w:val="24"/>
        </w:rPr>
        <w:t>examined in the post-sample results</w:t>
      </w:r>
      <w:r w:rsidRPr="00874D51">
        <w:rPr>
          <w:szCs w:val="24"/>
        </w:rPr>
        <w:t xml:space="preserve"> below.) The table is divided into two panels, the top </w:t>
      </w:r>
      <w:r>
        <w:rPr>
          <w:szCs w:val="24"/>
        </w:rPr>
        <w:t xml:space="preserve">panel </w:t>
      </w:r>
      <w:r w:rsidRPr="00874D51">
        <w:rPr>
          <w:szCs w:val="24"/>
        </w:rPr>
        <w:t xml:space="preserve">showing </w:t>
      </w:r>
      <w:r>
        <w:rPr>
          <w:szCs w:val="24"/>
        </w:rPr>
        <w:t xml:space="preserve">the </w:t>
      </w:r>
      <w:r w:rsidRPr="00874D51">
        <w:rPr>
          <w:szCs w:val="24"/>
        </w:rPr>
        <w:t xml:space="preserve">results for growth over the next two quarters and the bottom panel </w:t>
      </w:r>
      <w:r>
        <w:rPr>
          <w:szCs w:val="24"/>
        </w:rPr>
        <w:t xml:space="preserve">showing the results </w:t>
      </w:r>
      <w:r w:rsidRPr="00874D51">
        <w:rPr>
          <w:szCs w:val="24"/>
        </w:rPr>
        <w:t>for growth over the next four</w:t>
      </w:r>
      <w:r>
        <w:rPr>
          <w:szCs w:val="24"/>
        </w:rPr>
        <w:t xml:space="preserve"> </w:t>
      </w:r>
      <w:r w:rsidRPr="00874D51">
        <w:rPr>
          <w:szCs w:val="24"/>
        </w:rPr>
        <w:t xml:space="preserve">quarters.  In each panel, the activity variable </w:t>
      </w:r>
      <w:r w:rsidRPr="00874D51">
        <w:rPr>
          <w:i/>
          <w:szCs w:val="24"/>
        </w:rPr>
        <w:t>y</w:t>
      </w:r>
      <w:r w:rsidRPr="00874D51">
        <w:rPr>
          <w:szCs w:val="24"/>
        </w:rPr>
        <w:t xml:space="preserve"> being predicted is shown in the top row and the financial indicator </w:t>
      </w:r>
      <w:r w:rsidRPr="00874D51">
        <w:rPr>
          <w:i/>
          <w:szCs w:val="24"/>
        </w:rPr>
        <w:t>x</w:t>
      </w:r>
      <w:r w:rsidRPr="00874D51">
        <w:rPr>
          <w:szCs w:val="24"/>
        </w:rPr>
        <w:t xml:space="preserve"> being used to predict it is listed in the left column. Three statistics are given for each regression:</w:t>
      </w:r>
      <w:r>
        <w:rPr>
          <w:szCs w:val="24"/>
        </w:rPr>
        <w:br/>
      </w:r>
      <w:r w:rsidRPr="00874D51">
        <w:rPr>
          <w:szCs w:val="24"/>
        </w:rPr>
        <w:t xml:space="preserve"> </w:t>
      </w:r>
    </w:p>
    <w:p w:rsidR="009210F9" w:rsidRPr="00874D51" w:rsidRDefault="009210F9" w:rsidP="009210F9">
      <w:pPr>
        <w:pStyle w:val="ColorfulList-Accent11"/>
        <w:numPr>
          <w:ilvl w:val="0"/>
          <w:numId w:val="2"/>
        </w:numPr>
        <w:rPr>
          <w:szCs w:val="24"/>
        </w:rPr>
      </w:pPr>
      <w:r w:rsidRPr="00874D51">
        <w:rPr>
          <w:position w:val="-14"/>
          <w:szCs w:val="24"/>
        </w:rPr>
        <w:object w:dxaOrig="499" w:dyaOrig="400">
          <v:shape id="_x0000_i1026" type="#_x0000_t75" style="width:25.1pt;height:20.75pt" o:ole="">
            <v:imagedata r:id="rId11" o:title=""/>
          </v:shape>
          <o:OLEObject Type="Embed" ProgID="Equation.DSMT4" ShapeID="_x0000_i1026" DrawAspect="Content" ObjectID="_1332680855" r:id="rId12"/>
        </w:object>
      </w:r>
      <w:r w:rsidRPr="00874D51">
        <w:rPr>
          <w:szCs w:val="24"/>
        </w:rPr>
        <w:t xml:space="preserve"> is the partial </w:t>
      </w:r>
      <w:r w:rsidRPr="00874D51">
        <w:rPr>
          <w:i/>
          <w:szCs w:val="24"/>
        </w:rPr>
        <w:t>R</w:t>
      </w:r>
      <w:r w:rsidRPr="00874D51">
        <w:rPr>
          <w:szCs w:val="24"/>
          <w:vertAlign w:val="superscript"/>
        </w:rPr>
        <w:t>2</w:t>
      </w:r>
      <w:r w:rsidRPr="00874D51">
        <w:rPr>
          <w:szCs w:val="24"/>
        </w:rPr>
        <w:t xml:space="preserve"> for the lags of </w:t>
      </w:r>
      <w:r w:rsidRPr="00874D51">
        <w:rPr>
          <w:i/>
          <w:szCs w:val="24"/>
        </w:rPr>
        <w:t xml:space="preserve">x </w:t>
      </w:r>
      <w:r w:rsidRPr="00874D51">
        <w:rPr>
          <w:szCs w:val="24"/>
        </w:rPr>
        <w:t xml:space="preserve">given the lags of </w:t>
      </w:r>
      <w:r w:rsidRPr="00874D51">
        <w:rPr>
          <w:szCs w:val="24"/>
        </w:rPr>
        <w:sym w:font="Symbol" w:char="F044"/>
      </w:r>
      <w:r w:rsidRPr="00874D51">
        <w:rPr>
          <w:i/>
          <w:szCs w:val="24"/>
        </w:rPr>
        <w:t>y</w:t>
      </w:r>
      <w:r w:rsidRPr="00874D51">
        <w:rPr>
          <w:szCs w:val="24"/>
        </w:rPr>
        <w:t xml:space="preserve">, which shows the proportion of the overall variance in the activity variable that is explained by the financial variables net of the variance explained by the autoregressive component of the regression.  </w:t>
      </w:r>
    </w:p>
    <w:p w:rsidR="009210F9" w:rsidRPr="00874D51" w:rsidRDefault="009210F9" w:rsidP="009210F9">
      <w:pPr>
        <w:pStyle w:val="ColorfulList-Accent11"/>
        <w:numPr>
          <w:ilvl w:val="0"/>
          <w:numId w:val="2"/>
        </w:numPr>
        <w:rPr>
          <w:szCs w:val="24"/>
        </w:rPr>
      </w:pPr>
      <w:r w:rsidRPr="00874D51">
        <w:rPr>
          <w:i/>
          <w:szCs w:val="24"/>
        </w:rPr>
        <w:t xml:space="preserve">F </w:t>
      </w:r>
      <w:r w:rsidRPr="00874D51">
        <w:rPr>
          <w:szCs w:val="24"/>
        </w:rPr>
        <w:t xml:space="preserve">is the </w:t>
      </w:r>
      <w:r w:rsidRPr="00874D51">
        <w:rPr>
          <w:i/>
          <w:szCs w:val="24"/>
        </w:rPr>
        <w:t>F</w:t>
      </w:r>
      <w:r w:rsidRPr="00874D51">
        <w:rPr>
          <w:szCs w:val="24"/>
        </w:rPr>
        <w:t xml:space="preserve">-statistic testing the hypothesis that the coefficients on the lags of </w:t>
      </w:r>
      <w:r w:rsidRPr="00874D51">
        <w:rPr>
          <w:i/>
          <w:szCs w:val="24"/>
        </w:rPr>
        <w:t xml:space="preserve">x </w:t>
      </w:r>
      <w:r w:rsidRPr="00874D51">
        <w:rPr>
          <w:szCs w:val="24"/>
        </w:rPr>
        <w:t xml:space="preserve">are zero with its </w:t>
      </w:r>
      <w:r w:rsidRPr="00874D51">
        <w:rPr>
          <w:i/>
          <w:szCs w:val="24"/>
        </w:rPr>
        <w:t>p</w:t>
      </w:r>
      <w:r w:rsidRPr="00874D51">
        <w:rPr>
          <w:szCs w:val="24"/>
        </w:rPr>
        <w:t xml:space="preserve">-value shown in parentheses. (A </w:t>
      </w:r>
      <w:r w:rsidRPr="00874D51">
        <w:rPr>
          <w:i/>
          <w:szCs w:val="24"/>
        </w:rPr>
        <w:t>p</w:t>
      </w:r>
      <w:r w:rsidRPr="00874D51">
        <w:rPr>
          <w:szCs w:val="24"/>
        </w:rPr>
        <w:t xml:space="preserve">-value less than 0.05 means that the estimated coefficients on lags of </w:t>
      </w:r>
      <w:r w:rsidRPr="00874D51">
        <w:rPr>
          <w:i/>
          <w:szCs w:val="24"/>
        </w:rPr>
        <w:t xml:space="preserve">x </w:t>
      </w:r>
      <w:r w:rsidRPr="00874D51">
        <w:rPr>
          <w:szCs w:val="24"/>
        </w:rPr>
        <w:t>are statistically significantly different from zero at the 5% significance level.)</w:t>
      </w:r>
    </w:p>
    <w:p w:rsidR="009210F9" w:rsidRPr="00874D51" w:rsidRDefault="009210F9" w:rsidP="009210F9">
      <w:pPr>
        <w:pStyle w:val="ColorfulList-Accent11"/>
        <w:numPr>
          <w:ilvl w:val="0"/>
          <w:numId w:val="2"/>
        </w:numPr>
        <w:rPr>
          <w:szCs w:val="24"/>
        </w:rPr>
      </w:pPr>
      <w:r w:rsidRPr="00874D51">
        <w:rPr>
          <w:i/>
          <w:szCs w:val="24"/>
        </w:rPr>
        <w:t>QLR</w:t>
      </w:r>
      <w:r w:rsidRPr="00874D51">
        <w:rPr>
          <w:szCs w:val="24"/>
        </w:rPr>
        <w:t xml:space="preserve"> is the Quandt likelihood ratio </w:t>
      </w:r>
      <w:r w:rsidRPr="00874D51">
        <w:rPr>
          <w:i/>
          <w:szCs w:val="24"/>
        </w:rPr>
        <w:t>F-</w:t>
      </w:r>
      <w:r w:rsidRPr="00874D51">
        <w:rPr>
          <w:szCs w:val="24"/>
        </w:rPr>
        <w:t xml:space="preserve">statistic which tests the null hypothesis that the coefficients on lags of </w:t>
      </w:r>
      <w:r w:rsidRPr="00874D51">
        <w:rPr>
          <w:i/>
          <w:szCs w:val="24"/>
        </w:rPr>
        <w:t xml:space="preserve">x </w:t>
      </w:r>
      <w:r w:rsidRPr="00874D51">
        <w:rPr>
          <w:szCs w:val="24"/>
        </w:rPr>
        <w:t xml:space="preserve">are stable over the sample period.  Again, </w:t>
      </w:r>
      <w:r w:rsidRPr="00874D51">
        <w:rPr>
          <w:i/>
          <w:szCs w:val="24"/>
        </w:rPr>
        <w:t>p</w:t>
      </w:r>
      <w:r w:rsidRPr="00874D51">
        <w:rPr>
          <w:szCs w:val="24"/>
        </w:rPr>
        <w:t xml:space="preserve">-values are shown in parentheses, and a </w:t>
      </w:r>
      <w:r w:rsidRPr="00874D51">
        <w:rPr>
          <w:i/>
          <w:szCs w:val="24"/>
        </w:rPr>
        <w:t>p</w:t>
      </w:r>
      <w:r w:rsidRPr="00874D51">
        <w:rPr>
          <w:szCs w:val="24"/>
        </w:rPr>
        <w:t>-value that is less than 0.05 (corresponding to QLR statistics greater than 4.1) indicates statistically significant evidence of instability in the coefficients.</w:t>
      </w:r>
      <w:r w:rsidRPr="00874D51">
        <w:rPr>
          <w:rStyle w:val="FootnoteReference"/>
          <w:szCs w:val="24"/>
        </w:rPr>
        <w:footnoteReference w:id="6"/>
      </w:r>
      <w:r w:rsidRPr="00874D51">
        <w:rPr>
          <w:szCs w:val="24"/>
        </w:rPr>
        <w:t xml:space="preserve">   </w:t>
      </w:r>
    </w:p>
    <w:p w:rsidR="009210F9" w:rsidRPr="00874D51" w:rsidRDefault="009210F9" w:rsidP="009210F9">
      <w:pPr>
        <w:pStyle w:val="ColorfulList-Accent11"/>
        <w:rPr>
          <w:szCs w:val="24"/>
        </w:rPr>
      </w:pPr>
    </w:p>
    <w:p w:rsidR="009210F9" w:rsidRPr="00874D51" w:rsidRDefault="009210F9" w:rsidP="009210F9">
      <w:pPr>
        <w:pStyle w:val="ColorfulList-Accent11"/>
        <w:ind w:left="0"/>
        <w:rPr>
          <w:szCs w:val="24"/>
        </w:rPr>
      </w:pPr>
      <w:r w:rsidRPr="00874D51">
        <w:rPr>
          <w:szCs w:val="24"/>
        </w:rPr>
        <w:t xml:space="preserve">The results indicate that the financial variables are useful in explaining the variance in the two and four-quarter ahead growth of the activity variables.  The partial </w:t>
      </w:r>
      <w:r w:rsidRPr="00874D51">
        <w:rPr>
          <w:i/>
          <w:szCs w:val="24"/>
        </w:rPr>
        <w:t>R</w:t>
      </w:r>
      <w:r w:rsidRPr="00874D51">
        <w:rPr>
          <w:szCs w:val="24"/>
          <w:vertAlign w:val="superscript"/>
        </w:rPr>
        <w:t>2</w:t>
      </w:r>
      <w:r w:rsidRPr="00874D51">
        <w:rPr>
          <w:szCs w:val="24"/>
        </w:rPr>
        <w:t xml:space="preserve">s generally fall in range of 0.1 to 0.2, and the </w:t>
      </w:r>
      <w:r w:rsidRPr="00874D51">
        <w:rPr>
          <w:i/>
          <w:szCs w:val="24"/>
        </w:rPr>
        <w:t>F</w:t>
      </w:r>
      <w:r w:rsidRPr="00874D51">
        <w:rPr>
          <w:szCs w:val="24"/>
        </w:rPr>
        <w:t xml:space="preserve">-statistics are uniformly significant at the 5% level.  However, the </w:t>
      </w:r>
      <w:r w:rsidRPr="00874D51">
        <w:rPr>
          <w:i/>
          <w:szCs w:val="24"/>
        </w:rPr>
        <w:t xml:space="preserve">QLR </w:t>
      </w:r>
      <w:r w:rsidRPr="00874D51">
        <w:rPr>
          <w:szCs w:val="24"/>
        </w:rPr>
        <w:t xml:space="preserve">statistics show substantial evidence of instability (31 of the 40 </w:t>
      </w:r>
      <w:r w:rsidRPr="00874D51">
        <w:rPr>
          <w:i/>
          <w:szCs w:val="24"/>
        </w:rPr>
        <w:t xml:space="preserve">QLR </w:t>
      </w:r>
      <w:r w:rsidRPr="00874D51">
        <w:rPr>
          <w:szCs w:val="24"/>
        </w:rPr>
        <w:t xml:space="preserve">statistics are significant at the 5% level).  While the specific source of instability is unclear, the outcome should not be surprising. The potential for instability was highlighted in Section 2 </w:t>
      </w:r>
      <w:r>
        <w:rPr>
          <w:szCs w:val="24"/>
        </w:rPr>
        <w:t xml:space="preserve">that focused </w:t>
      </w:r>
      <w:r w:rsidRPr="00874D51">
        <w:rPr>
          <w:szCs w:val="24"/>
        </w:rPr>
        <w:t>on the conceptual background of financial conditions indicators. Just to recall, such in-sample instability can arise for a wide variety of reasons, including financial innovation, structural changes in the economy, and threshold effects (and other nonlinearities that are not captured in the linear model). Inclusion of the lagged activity indicators may not eliminate these sources of instability. The statistical fit was generally at least as good for 4-quarter</w:t>
      </w:r>
      <w:r>
        <w:rPr>
          <w:szCs w:val="24"/>
        </w:rPr>
        <w:t>-</w:t>
      </w:r>
      <w:r w:rsidRPr="00874D51">
        <w:rPr>
          <w:szCs w:val="24"/>
        </w:rPr>
        <w:t xml:space="preserve">ahead results as </w:t>
      </w:r>
      <w:r>
        <w:rPr>
          <w:szCs w:val="24"/>
        </w:rPr>
        <w:t xml:space="preserve">for </w:t>
      </w:r>
      <w:r w:rsidRPr="00874D51">
        <w:rPr>
          <w:szCs w:val="24"/>
        </w:rPr>
        <w:t>2-quarter</w:t>
      </w:r>
      <w:r>
        <w:rPr>
          <w:szCs w:val="24"/>
        </w:rPr>
        <w:t>-</w:t>
      </w:r>
      <w:r w:rsidRPr="00874D51">
        <w:rPr>
          <w:szCs w:val="24"/>
        </w:rPr>
        <w:t>ahead</w:t>
      </w:r>
      <w:r>
        <w:rPr>
          <w:szCs w:val="24"/>
        </w:rPr>
        <w:t xml:space="preserve"> predictions</w:t>
      </w:r>
      <w:r w:rsidRPr="00874D51">
        <w:rPr>
          <w:szCs w:val="24"/>
        </w:rPr>
        <w:t>, and there was no evidence of a greater incidence of instability at the longer horizon.  Among the five separate financial factors, the stock market index exhibit</w:t>
      </w:r>
      <w:r>
        <w:rPr>
          <w:szCs w:val="24"/>
        </w:rPr>
        <w:t>ed</w:t>
      </w:r>
      <w:r w:rsidRPr="00874D51">
        <w:rPr>
          <w:szCs w:val="24"/>
        </w:rPr>
        <w:t xml:space="preserve"> greater stability, especially at the 4-quarter horizon, </w:t>
      </w:r>
      <w:r>
        <w:rPr>
          <w:szCs w:val="24"/>
        </w:rPr>
        <w:t>but</w:t>
      </w:r>
      <w:r w:rsidRPr="00874D51">
        <w:rPr>
          <w:szCs w:val="24"/>
        </w:rPr>
        <w:t xml:space="preserve"> it also explained a somewhat smaller portion of the total variance than the others.  </w:t>
      </w:r>
    </w:p>
    <w:p w:rsidR="009210F9" w:rsidRPr="00874D51" w:rsidRDefault="009210F9" w:rsidP="009210F9">
      <w:pPr>
        <w:pStyle w:val="ColorfulList-Accent11"/>
        <w:ind w:left="1440"/>
        <w:rPr>
          <w:szCs w:val="24"/>
        </w:rPr>
      </w:pPr>
    </w:p>
    <w:p w:rsidR="009210F9" w:rsidRPr="00874D51" w:rsidRDefault="009210F9" w:rsidP="009210F9">
      <w:pPr>
        <w:pStyle w:val="ColorfulList-Accent11"/>
        <w:ind w:left="0"/>
        <w:rPr>
          <w:b/>
          <w:szCs w:val="24"/>
        </w:rPr>
      </w:pPr>
      <w:r w:rsidRPr="00874D51">
        <w:rPr>
          <w:b/>
          <w:szCs w:val="24"/>
        </w:rPr>
        <w:t>Post-sample tests</w:t>
      </w:r>
    </w:p>
    <w:p w:rsidR="009210F9" w:rsidRPr="00874D51" w:rsidRDefault="009210F9" w:rsidP="009210F9">
      <w:pPr>
        <w:pStyle w:val="ColorfulList-Accent11"/>
        <w:ind w:left="0"/>
        <w:rPr>
          <w:szCs w:val="24"/>
        </w:rPr>
      </w:pPr>
      <w:r w:rsidRPr="00874D51">
        <w:rPr>
          <w:szCs w:val="24"/>
        </w:rPr>
        <w:t>Our post-sample prediction analysis is carried out using “pseudo-out-of-sample” calculations that rely on the same regression specification used above, but estimated recursively through the forecast period.</w:t>
      </w:r>
      <w:r w:rsidRPr="00874D51">
        <w:rPr>
          <w:rStyle w:val="FootnoteReference"/>
          <w:szCs w:val="24"/>
        </w:rPr>
        <w:footnoteReference w:id="7"/>
      </w:r>
      <w:r w:rsidRPr="00874D51">
        <w:rPr>
          <w:szCs w:val="24"/>
        </w:rPr>
        <w:t xml:space="preserve">  Specifically, forecasts at time period </w:t>
      </w:r>
      <w:r w:rsidRPr="00874D51">
        <w:rPr>
          <w:i/>
          <w:szCs w:val="24"/>
        </w:rPr>
        <w:t>t</w:t>
      </w:r>
      <w:r w:rsidRPr="00874D51">
        <w:rPr>
          <w:szCs w:val="24"/>
        </w:rPr>
        <w:t xml:space="preserve"> are constructed by estimating the regression coefficients using data from the beginning of the sample through period </w:t>
      </w:r>
      <w:r w:rsidRPr="00874D51">
        <w:rPr>
          <w:i/>
          <w:szCs w:val="24"/>
        </w:rPr>
        <w:t>t</w:t>
      </w:r>
      <w:r w:rsidRPr="00874D51">
        <w:rPr>
          <w:szCs w:val="24"/>
        </w:rPr>
        <w:t xml:space="preserve">; these estimated regression coefficients are then used to forecast </w:t>
      </w:r>
      <w:r w:rsidRPr="00874D51">
        <w:rPr>
          <w:i/>
          <w:szCs w:val="24"/>
        </w:rPr>
        <w:t>y</w:t>
      </w:r>
      <w:r w:rsidRPr="00874D51">
        <w:rPr>
          <w:i/>
          <w:szCs w:val="24"/>
          <w:vertAlign w:val="subscript"/>
        </w:rPr>
        <w:t>t</w:t>
      </w:r>
      <w:r w:rsidRPr="00874D51">
        <w:rPr>
          <w:szCs w:val="24"/>
          <w:vertAlign w:val="subscript"/>
        </w:rPr>
        <w:t>+</w:t>
      </w:r>
      <w:r w:rsidRPr="00874D51">
        <w:rPr>
          <w:i/>
          <w:szCs w:val="24"/>
          <w:vertAlign w:val="subscript"/>
        </w:rPr>
        <w:t>h</w:t>
      </w:r>
      <w:r w:rsidRPr="00874D51">
        <w:rPr>
          <w:szCs w:val="24"/>
        </w:rPr>
        <w:t xml:space="preserve">.  The process is repeated to construct forecasts at time </w:t>
      </w:r>
      <w:r w:rsidRPr="00874D51">
        <w:rPr>
          <w:i/>
          <w:szCs w:val="24"/>
        </w:rPr>
        <w:t>t</w:t>
      </w:r>
      <w:r w:rsidRPr="00874D51">
        <w:rPr>
          <w:szCs w:val="24"/>
        </w:rPr>
        <w:t>+1, and so on through the end of the sample</w:t>
      </w:r>
      <w:r>
        <w:rPr>
          <w:szCs w:val="24"/>
        </w:rPr>
        <w:t xml:space="preserve"> (2009:Q4).</w:t>
      </w:r>
      <w:r w:rsidRPr="00874D51">
        <w:rPr>
          <w:szCs w:val="24"/>
        </w:rPr>
        <w:t xml:space="preserve"> The lag lengths on the </w:t>
      </w:r>
      <w:r w:rsidRPr="00874D51">
        <w:rPr>
          <w:i/>
          <w:szCs w:val="24"/>
        </w:rPr>
        <w:t xml:space="preserve">x’s </w:t>
      </w:r>
      <w:r w:rsidRPr="00874D51">
        <w:rPr>
          <w:szCs w:val="24"/>
        </w:rPr>
        <w:t xml:space="preserve">and </w:t>
      </w:r>
      <w:r w:rsidRPr="00874D51">
        <w:rPr>
          <w:szCs w:val="24"/>
        </w:rPr>
        <w:sym w:font="Symbol" w:char="F044"/>
      </w:r>
      <w:r w:rsidRPr="00874D51">
        <w:rPr>
          <w:i/>
          <w:szCs w:val="24"/>
        </w:rPr>
        <w:t>y’s</w:t>
      </w:r>
      <w:r w:rsidRPr="00874D51">
        <w:rPr>
          <w:szCs w:val="24"/>
        </w:rPr>
        <w:t xml:space="preserve"> were chosen (at each forecast date) by BIC, a standard method for estimating lag-lengths.</w:t>
      </w:r>
      <w:r w:rsidRPr="00874D51">
        <w:rPr>
          <w:rStyle w:val="FootnoteReference"/>
          <w:szCs w:val="24"/>
        </w:rPr>
        <w:footnoteReference w:id="8"/>
      </w:r>
      <w:r w:rsidRPr="00874D51">
        <w:rPr>
          <w:szCs w:val="24"/>
        </w:rPr>
        <w:t xml:space="preserve">  The pseudo-of-sample predictions were started in 1971 to allow for a minimum of 40 quarterly observations in the regressions used for the initial forecast.  As a benchmark for comparison, we also constructed pseudo-out-of-sample forecasts using an autoregressive model (which had the same form of the model above, but excluded the financial variable (</w:t>
      </w:r>
      <w:r w:rsidRPr="00874D51">
        <w:rPr>
          <w:i/>
          <w:szCs w:val="24"/>
        </w:rPr>
        <w:t xml:space="preserve">x) </w:t>
      </w:r>
      <w:r w:rsidRPr="00874D51">
        <w:rPr>
          <w:szCs w:val="24"/>
        </w:rPr>
        <w:t xml:space="preserve">regressors).  </w:t>
      </w:r>
    </w:p>
    <w:p w:rsidR="009210F9" w:rsidRPr="00874D51" w:rsidRDefault="009210F9" w:rsidP="009210F9">
      <w:pPr>
        <w:pStyle w:val="ColorfulList-Accent11"/>
        <w:rPr>
          <w:szCs w:val="24"/>
        </w:rPr>
      </w:pPr>
    </w:p>
    <w:p w:rsidR="009210F9" w:rsidRPr="00874D51" w:rsidRDefault="009210F9" w:rsidP="009210F9">
      <w:pPr>
        <w:pStyle w:val="ColorfulList-Accent11"/>
        <w:ind w:left="0"/>
        <w:rPr>
          <w:szCs w:val="24"/>
        </w:rPr>
      </w:pPr>
      <w:r w:rsidRPr="00874D51">
        <w:rPr>
          <w:szCs w:val="24"/>
        </w:rPr>
        <w:t xml:space="preserve">Table 3.2 shows the root mean square forecast errors (RMSE) computed for the post-sample predictions produced by the various equations.  The quarterly results are aggregated (averaged) into the eight 5-year subperiods since 1970 shown in the top row of the table.  As with the in-sample results in Table 3.1, this table too is split in half, with the top half devoted to 2-quarter ahead predictions and the bottom half 4-quarter-ahead predictions.  In each half, the top panel of data shows the RMSE for the autoregressive (AR) models (excluding financial factors) for each of the four real activity variables.  The rows below show results for the equations with each of the five financial factors (listed in the first column).  In the top half of the table (for </w:t>
      </w:r>
      <w:r w:rsidRPr="00874D51">
        <w:rPr>
          <w:i/>
          <w:szCs w:val="24"/>
        </w:rPr>
        <w:t xml:space="preserve">h </w:t>
      </w:r>
      <w:r w:rsidRPr="00874D51">
        <w:rPr>
          <w:szCs w:val="24"/>
        </w:rPr>
        <w:t xml:space="preserve">= 2) we show somewhat more detailed results for the </w:t>
      </w:r>
      <w:r>
        <w:rPr>
          <w:szCs w:val="24"/>
        </w:rPr>
        <w:t>f</w:t>
      </w:r>
      <w:r w:rsidRPr="00874D51">
        <w:rPr>
          <w:szCs w:val="24"/>
        </w:rPr>
        <w:t xml:space="preserve">ed </w:t>
      </w:r>
      <w:r>
        <w:rPr>
          <w:szCs w:val="24"/>
        </w:rPr>
        <w:t>f</w:t>
      </w:r>
      <w:r w:rsidRPr="00874D51">
        <w:rPr>
          <w:szCs w:val="24"/>
        </w:rPr>
        <w:t xml:space="preserve">unds model to help explain the results below.  Each of the </w:t>
      </w:r>
      <w:r>
        <w:rPr>
          <w:szCs w:val="24"/>
        </w:rPr>
        <w:t xml:space="preserve">rows for fed funds shows </w:t>
      </w:r>
      <w:r w:rsidRPr="00874D51">
        <w:rPr>
          <w:szCs w:val="24"/>
        </w:rPr>
        <w:t>the root mean square forecast error relative to the associated RMSE for the AR model.  For example, in the first subperiod, 1970:</w:t>
      </w:r>
      <w:r>
        <w:rPr>
          <w:szCs w:val="24"/>
        </w:rPr>
        <w:t>Q1</w:t>
      </w:r>
      <w:r w:rsidRPr="00874D51">
        <w:rPr>
          <w:szCs w:val="24"/>
        </w:rPr>
        <w:t>-1974:</w:t>
      </w:r>
      <w:r>
        <w:rPr>
          <w:szCs w:val="24"/>
        </w:rPr>
        <w:t>Q4</w:t>
      </w:r>
      <w:r w:rsidRPr="00874D51">
        <w:rPr>
          <w:szCs w:val="24"/>
        </w:rPr>
        <w:t>, the RMSE for predicting real GDP was 1.0</w:t>
      </w:r>
      <w:r>
        <w:rPr>
          <w:szCs w:val="24"/>
        </w:rPr>
        <w:t>3</w:t>
      </w:r>
      <w:r w:rsidRPr="00874D51">
        <w:rPr>
          <w:szCs w:val="24"/>
        </w:rPr>
        <w:t xml:space="preserve"> (that is, the RMSE using </w:t>
      </w:r>
      <w:r>
        <w:rPr>
          <w:szCs w:val="24"/>
        </w:rPr>
        <w:t>f</w:t>
      </w:r>
      <w:r w:rsidRPr="00874D51">
        <w:rPr>
          <w:szCs w:val="24"/>
        </w:rPr>
        <w:t xml:space="preserve">ed </w:t>
      </w:r>
      <w:r>
        <w:rPr>
          <w:szCs w:val="24"/>
        </w:rPr>
        <w:t>f</w:t>
      </w:r>
      <w:r w:rsidRPr="00874D51">
        <w:rPr>
          <w:szCs w:val="24"/>
        </w:rPr>
        <w:t>unds was 1.0</w:t>
      </w:r>
      <w:r>
        <w:rPr>
          <w:szCs w:val="24"/>
        </w:rPr>
        <w:t>3</w:t>
      </w:r>
      <w:r w:rsidRPr="00874D51">
        <w:rPr>
          <w:szCs w:val="24"/>
        </w:rPr>
        <w:t xml:space="preserve"> times greater than the corresponding RMSE for the autoregressive model).  Similarly, the relative RMSEs for employment, </w:t>
      </w:r>
      <w:r>
        <w:rPr>
          <w:szCs w:val="24"/>
        </w:rPr>
        <w:t xml:space="preserve">IP, </w:t>
      </w:r>
      <w:r w:rsidRPr="00874D51">
        <w:rPr>
          <w:szCs w:val="24"/>
        </w:rPr>
        <w:t>and unemployment were 1.0</w:t>
      </w:r>
      <w:r>
        <w:rPr>
          <w:szCs w:val="24"/>
        </w:rPr>
        <w:t>8</w:t>
      </w:r>
      <w:r w:rsidRPr="00874D51">
        <w:rPr>
          <w:szCs w:val="24"/>
        </w:rPr>
        <w:t>, 1.</w:t>
      </w:r>
      <w:r>
        <w:rPr>
          <w:szCs w:val="24"/>
        </w:rPr>
        <w:t>24</w:t>
      </w:r>
      <w:r w:rsidRPr="00874D51">
        <w:rPr>
          <w:szCs w:val="24"/>
        </w:rPr>
        <w:t xml:space="preserve"> and 1.</w:t>
      </w:r>
      <w:r>
        <w:rPr>
          <w:szCs w:val="24"/>
        </w:rPr>
        <w:t>09</w:t>
      </w:r>
      <w:r w:rsidRPr="00874D51">
        <w:rPr>
          <w:szCs w:val="24"/>
        </w:rPr>
        <w:t>, respectively.  The average of these four relative RMSEs, 1.</w:t>
      </w:r>
      <w:r>
        <w:rPr>
          <w:szCs w:val="24"/>
        </w:rPr>
        <w:t>11</w:t>
      </w:r>
      <w:r w:rsidRPr="00874D51">
        <w:rPr>
          <w:szCs w:val="24"/>
        </w:rPr>
        <w:t>, is reported in the next line down.  And in the lines that follow, similarly constructed averages are reported for the other four financial indicators.  The more detailed results underlying these averages for the other indicators are presented in the appendix tables.</w:t>
      </w:r>
    </w:p>
    <w:p w:rsidR="009210F9" w:rsidRPr="00874D51" w:rsidRDefault="009210F9" w:rsidP="009210F9">
      <w:pPr>
        <w:pStyle w:val="ColorfulList-Accent11"/>
        <w:rPr>
          <w:szCs w:val="24"/>
        </w:rPr>
      </w:pPr>
    </w:p>
    <w:p w:rsidR="009210F9" w:rsidRPr="00874D51" w:rsidRDefault="009210F9" w:rsidP="009210F9">
      <w:pPr>
        <w:pStyle w:val="ColorfulList-Accent11"/>
        <w:ind w:left="0"/>
        <w:rPr>
          <w:szCs w:val="24"/>
        </w:rPr>
      </w:pPr>
      <w:r w:rsidRPr="00874D51">
        <w:rPr>
          <w:szCs w:val="24"/>
        </w:rPr>
        <w:t>Several notable patterns emerge in the results:</w:t>
      </w:r>
      <w:r>
        <w:rPr>
          <w:szCs w:val="24"/>
        </w:rPr>
        <w:br/>
      </w:r>
    </w:p>
    <w:p w:rsidR="009210F9" w:rsidRPr="00874D51" w:rsidRDefault="009210F9" w:rsidP="009210F9">
      <w:pPr>
        <w:pStyle w:val="ColorfulList-Accent11"/>
        <w:numPr>
          <w:ilvl w:val="0"/>
          <w:numId w:val="4"/>
        </w:numPr>
        <w:rPr>
          <w:szCs w:val="24"/>
        </w:rPr>
      </w:pPr>
      <w:r w:rsidRPr="00874D51">
        <w:rPr>
          <w:szCs w:val="24"/>
        </w:rPr>
        <w:t>First, in the benchmark autoregressive models, prediction errors dropped substantially after mid-1985 and remained low for the next 20 years</w:t>
      </w:r>
      <w:r>
        <w:rPr>
          <w:szCs w:val="24"/>
        </w:rPr>
        <w:t xml:space="preserve">. We view this pattern as </w:t>
      </w:r>
      <w:r w:rsidRPr="00874D51">
        <w:rPr>
          <w:szCs w:val="24"/>
        </w:rPr>
        <w:t xml:space="preserve">evidence of the Great Moderation.  The recent reemergence of pronounced volatility of economic activity is evident </w:t>
      </w:r>
      <w:r>
        <w:rPr>
          <w:szCs w:val="24"/>
        </w:rPr>
        <w:t>in</w:t>
      </w:r>
      <w:r w:rsidRPr="00874D51">
        <w:rPr>
          <w:szCs w:val="24"/>
        </w:rPr>
        <w:t xml:space="preserve"> the substantial </w:t>
      </w:r>
      <w:r>
        <w:rPr>
          <w:szCs w:val="24"/>
        </w:rPr>
        <w:t>rise</w:t>
      </w:r>
      <w:r w:rsidRPr="00874D51">
        <w:rPr>
          <w:szCs w:val="24"/>
        </w:rPr>
        <w:t xml:space="preserve"> of the RMSE of the AR models in the latest subperiod.    </w:t>
      </w:r>
    </w:p>
    <w:p w:rsidR="009210F9" w:rsidRPr="00874D51" w:rsidRDefault="009210F9" w:rsidP="009210F9">
      <w:pPr>
        <w:pStyle w:val="ColorfulList-Accent11"/>
        <w:numPr>
          <w:ilvl w:val="0"/>
          <w:numId w:val="4"/>
        </w:numPr>
        <w:rPr>
          <w:szCs w:val="24"/>
        </w:rPr>
      </w:pPr>
      <w:r w:rsidRPr="00874D51">
        <w:rPr>
          <w:szCs w:val="24"/>
        </w:rPr>
        <w:t>Second, at both two and four-</w:t>
      </w:r>
      <w:r>
        <w:rPr>
          <w:szCs w:val="24"/>
        </w:rPr>
        <w:t xml:space="preserve">quarter </w:t>
      </w:r>
      <w:r w:rsidRPr="00874D51">
        <w:rPr>
          <w:szCs w:val="24"/>
        </w:rPr>
        <w:t>forecast horizons, the models including financial indicators generally improved on AR forecasts (relative RMSEs  &lt; 1) through the mid-1980s, after which the</w:t>
      </w:r>
      <w:r>
        <w:rPr>
          <w:szCs w:val="24"/>
        </w:rPr>
        <w:t>ir</w:t>
      </w:r>
      <w:r w:rsidRPr="00874D51">
        <w:rPr>
          <w:szCs w:val="24"/>
        </w:rPr>
        <w:t xml:space="preserve"> perform</w:t>
      </w:r>
      <w:r>
        <w:rPr>
          <w:szCs w:val="24"/>
        </w:rPr>
        <w:t>ance was relatively</w:t>
      </w:r>
      <w:r w:rsidRPr="00874D51">
        <w:rPr>
          <w:szCs w:val="24"/>
        </w:rPr>
        <w:t xml:space="preserve"> worse.  </w:t>
      </w:r>
      <w:r>
        <w:rPr>
          <w:szCs w:val="24"/>
        </w:rPr>
        <w:t>The f</w:t>
      </w:r>
      <w:r w:rsidR="007D1C4B">
        <w:rPr>
          <w:szCs w:val="24"/>
        </w:rPr>
        <w:t>i</w:t>
      </w:r>
      <w:r>
        <w:rPr>
          <w:szCs w:val="24"/>
        </w:rPr>
        <w:t>ve s</w:t>
      </w:r>
      <w:r w:rsidRPr="00874D51">
        <w:rPr>
          <w:szCs w:val="24"/>
        </w:rPr>
        <w:t>imple financial indicators generally did not enhance</w:t>
      </w:r>
      <w:r>
        <w:rPr>
          <w:szCs w:val="24"/>
        </w:rPr>
        <w:t xml:space="preserve"> –</w:t>
      </w:r>
      <w:r w:rsidRPr="00874D51">
        <w:rPr>
          <w:szCs w:val="24"/>
        </w:rPr>
        <w:t xml:space="preserve"> indeed</w:t>
      </w:r>
      <w:r>
        <w:rPr>
          <w:szCs w:val="24"/>
        </w:rPr>
        <w:t xml:space="preserve"> </w:t>
      </w:r>
      <w:r w:rsidRPr="00874D51">
        <w:rPr>
          <w:szCs w:val="24"/>
        </w:rPr>
        <w:t>they tended to worsen</w:t>
      </w:r>
      <w:r>
        <w:rPr>
          <w:szCs w:val="24"/>
        </w:rPr>
        <w:t xml:space="preserve"> – </w:t>
      </w:r>
      <w:r w:rsidRPr="00874D51">
        <w:rPr>
          <w:szCs w:val="24"/>
        </w:rPr>
        <w:t>the</w:t>
      </w:r>
      <w:r>
        <w:rPr>
          <w:szCs w:val="24"/>
        </w:rPr>
        <w:t xml:space="preserve"> </w:t>
      </w:r>
      <w:r w:rsidRPr="00874D51">
        <w:rPr>
          <w:szCs w:val="24"/>
        </w:rPr>
        <w:t xml:space="preserve">accuracy of post-sample prediction of economic activity during the Great Moderation.  During the most recent period, with increased economic volatility, the simple financial indicator models, on average, were about on a par with the AR models.        </w:t>
      </w:r>
    </w:p>
    <w:p w:rsidR="009210F9" w:rsidRPr="00874D51" w:rsidRDefault="009210F9" w:rsidP="009210F9">
      <w:pPr>
        <w:pStyle w:val="ColorfulList-Accent11"/>
        <w:numPr>
          <w:ilvl w:val="0"/>
          <w:numId w:val="4"/>
        </w:numPr>
        <w:rPr>
          <w:szCs w:val="24"/>
        </w:rPr>
      </w:pPr>
      <w:r w:rsidRPr="00874D51">
        <w:rPr>
          <w:szCs w:val="24"/>
        </w:rPr>
        <w:t xml:space="preserve">Third, the financial indicator models </w:t>
      </w:r>
      <w:r>
        <w:rPr>
          <w:szCs w:val="24"/>
        </w:rPr>
        <w:t>performed</w:t>
      </w:r>
      <w:r w:rsidRPr="00874D51">
        <w:rPr>
          <w:szCs w:val="24"/>
        </w:rPr>
        <w:t xml:space="preserve"> especially poorly relative to the AR models in the second half of 1980s.  The result should not come as a surprise in light of the in-sample results pointing to instability.</w:t>
      </w:r>
      <w:r w:rsidRPr="00874D51">
        <w:rPr>
          <w:rStyle w:val="FootnoteReference"/>
          <w:szCs w:val="24"/>
        </w:rPr>
        <w:footnoteReference w:id="9"/>
      </w:r>
      <w:r w:rsidRPr="00874D51">
        <w:rPr>
          <w:szCs w:val="24"/>
        </w:rPr>
        <w:t xml:space="preserve">  </w:t>
      </w:r>
      <w:r>
        <w:rPr>
          <w:szCs w:val="24"/>
        </w:rPr>
        <w:t>While the specific r</w:t>
      </w:r>
      <w:r w:rsidRPr="00874D51">
        <w:rPr>
          <w:szCs w:val="24"/>
        </w:rPr>
        <w:t xml:space="preserve">easons for this breakdown are not immediately evident, the discussion in Section 2.1 highlighted several potential </w:t>
      </w:r>
      <w:r>
        <w:rPr>
          <w:szCs w:val="24"/>
        </w:rPr>
        <w:t>explanations</w:t>
      </w:r>
      <w:r w:rsidRPr="00874D51">
        <w:rPr>
          <w:szCs w:val="24"/>
        </w:rPr>
        <w:t>.</w:t>
      </w:r>
    </w:p>
    <w:p w:rsidR="009210F9" w:rsidRPr="00874D51" w:rsidRDefault="009210F9" w:rsidP="009210F9">
      <w:pPr>
        <w:pStyle w:val="ColorfulList-Accent11"/>
        <w:numPr>
          <w:ilvl w:val="0"/>
          <w:numId w:val="4"/>
        </w:numPr>
        <w:rPr>
          <w:szCs w:val="24"/>
        </w:rPr>
      </w:pPr>
      <w:r w:rsidRPr="00874D51">
        <w:rPr>
          <w:szCs w:val="24"/>
        </w:rPr>
        <w:t xml:space="preserve">Fourth, among the </w:t>
      </w:r>
      <w:r>
        <w:rPr>
          <w:szCs w:val="24"/>
        </w:rPr>
        <w:t xml:space="preserve">five </w:t>
      </w:r>
      <w:r w:rsidRPr="00874D51">
        <w:rPr>
          <w:szCs w:val="24"/>
        </w:rPr>
        <w:t xml:space="preserve">simple indicator models, the stock market variable </w:t>
      </w:r>
      <w:r>
        <w:rPr>
          <w:szCs w:val="24"/>
        </w:rPr>
        <w:t>outperformed</w:t>
      </w:r>
      <w:r w:rsidRPr="00874D51">
        <w:rPr>
          <w:szCs w:val="24"/>
        </w:rPr>
        <w:t xml:space="preserve"> the AR model over the past decade, perhaps reflecting the relative importance of wealth effects on private spending during the 2001 and 2007-09 recessions.  The credit spread also did relatively well during the most recent five years.</w:t>
      </w:r>
      <w:r>
        <w:rPr>
          <w:rStyle w:val="FootnoteReference"/>
          <w:szCs w:val="24"/>
        </w:rPr>
        <w:footnoteReference w:id="10"/>
      </w:r>
      <w:r w:rsidRPr="00874D51">
        <w:rPr>
          <w:szCs w:val="24"/>
        </w:rPr>
        <w:t xml:space="preserve">  These findings are consistent with our earlier observation that the credit spread and especially the stock market variable showed greater evidence of in-sample stability.</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sidRPr="00874D51">
        <w:rPr>
          <w:szCs w:val="24"/>
        </w:rPr>
        <w:t xml:space="preserve">These results − </w:t>
      </w:r>
      <w:r>
        <w:rPr>
          <w:szCs w:val="24"/>
        </w:rPr>
        <w:t>including</w:t>
      </w:r>
      <w:r w:rsidRPr="00874D51">
        <w:rPr>
          <w:szCs w:val="24"/>
        </w:rPr>
        <w:t xml:space="preserve"> the evidence of in-sample instability and</w:t>
      </w:r>
      <w:r>
        <w:rPr>
          <w:szCs w:val="24"/>
        </w:rPr>
        <w:t>,</w:t>
      </w:r>
      <w:r w:rsidRPr="00874D51">
        <w:rPr>
          <w:szCs w:val="24"/>
        </w:rPr>
        <w:t xml:space="preserve"> with </w:t>
      </w:r>
      <w:r>
        <w:rPr>
          <w:szCs w:val="24"/>
        </w:rPr>
        <w:t>some</w:t>
      </w:r>
      <w:r w:rsidRPr="00874D51">
        <w:rPr>
          <w:szCs w:val="24"/>
        </w:rPr>
        <w:t xml:space="preserve"> exceptions, the failure to </w:t>
      </w:r>
      <w:r>
        <w:rPr>
          <w:szCs w:val="24"/>
        </w:rPr>
        <w:t>outperform</w:t>
      </w:r>
      <w:r w:rsidRPr="00874D51">
        <w:rPr>
          <w:szCs w:val="24"/>
        </w:rPr>
        <w:t xml:space="preserve"> simple autoregressive relationships in post-sample predictions in recent decades – are consistent with results found by earlier researchers (Stock and Watson (2003)).</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sidRPr="00874D51">
        <w:rPr>
          <w:szCs w:val="24"/>
        </w:rPr>
        <w:t xml:space="preserve">We see two </w:t>
      </w:r>
      <w:r>
        <w:rPr>
          <w:szCs w:val="24"/>
        </w:rPr>
        <w:t>ways to account</w:t>
      </w:r>
      <w:r w:rsidRPr="00874D51">
        <w:rPr>
          <w:szCs w:val="24"/>
        </w:rPr>
        <w:t xml:space="preserve"> for th</w:t>
      </w:r>
      <w:r>
        <w:rPr>
          <w:szCs w:val="24"/>
        </w:rPr>
        <w:t>e</w:t>
      </w:r>
      <w:r w:rsidRPr="00874D51">
        <w:rPr>
          <w:szCs w:val="24"/>
        </w:rPr>
        <w:t xml:space="preserve"> evidence of instability in using simple financial indicators to predict real economic activity.  Either “financial conditions” are unstable predictors of activity, or the simple indicators we have considered are unstable indicators of financial conditions more broadly.  The tests we consider next should shed some light on this issue.</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b/>
          <w:i/>
          <w:szCs w:val="24"/>
        </w:rPr>
      </w:pPr>
      <w:r w:rsidRPr="00874D51">
        <w:rPr>
          <w:b/>
          <w:szCs w:val="24"/>
        </w:rPr>
        <w:t xml:space="preserve">3.2 </w:t>
      </w:r>
      <w:r w:rsidRPr="00874D51">
        <w:rPr>
          <w:b/>
          <w:i/>
          <w:szCs w:val="24"/>
        </w:rPr>
        <w:t xml:space="preserve">Prediction Tests with Financial Conditions Indexes.  </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sidRPr="00874D51">
        <w:rPr>
          <w:szCs w:val="24"/>
        </w:rPr>
        <w:t>As we discussed in Section 2, FCIs pool information across multiple financial indicators, and therefore tend to be more representative of broad financial conditions than any single indicator could be.  To see if this pooling of information improves performance in predicting real activity, we have used the same pseudo-out-sample analysis outlined above for the various FCIs described in Section 2.</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sidRPr="00874D51">
        <w:rPr>
          <w:szCs w:val="24"/>
        </w:rPr>
        <w:t xml:space="preserve">Before showing the results, we highlight two features of the FCIs previously discussed in Section 2 that make this exercise different from the exercise using the individual financial indicators. First, a long history is available for the individual indicators, but the available history for the FCIs is much shorter. The various FCIs are available over different sample periods; the Goldman-Sachs (GS) index starts in 1980:I and has the longest history, while the OECD index starts in 1995:I and has the shortest history.  The second feature is that several of the FCIs were constructed </w:t>
      </w:r>
      <w:r>
        <w:rPr>
          <w:szCs w:val="24"/>
        </w:rPr>
        <w:t>by</w:t>
      </w:r>
      <w:r w:rsidRPr="00874D51">
        <w:rPr>
          <w:szCs w:val="24"/>
        </w:rPr>
        <w:t xml:space="preserve"> fit</w:t>
      </w:r>
      <w:r>
        <w:rPr>
          <w:szCs w:val="24"/>
        </w:rPr>
        <w:t>ting</w:t>
      </w:r>
      <w:r w:rsidRPr="00874D51">
        <w:rPr>
          <w:szCs w:val="24"/>
        </w:rPr>
        <w:t xml:space="preserve"> real activity measures over </w:t>
      </w:r>
      <w:r>
        <w:rPr>
          <w:szCs w:val="24"/>
        </w:rPr>
        <w:t>some portion</w:t>
      </w:r>
      <w:r w:rsidRPr="00874D51">
        <w:rPr>
          <w:szCs w:val="24"/>
        </w:rPr>
        <w:t xml:space="preserve"> of the period </w:t>
      </w:r>
      <w:r>
        <w:rPr>
          <w:szCs w:val="24"/>
        </w:rPr>
        <w:t xml:space="preserve">that </w:t>
      </w:r>
      <w:r w:rsidRPr="00874D51">
        <w:rPr>
          <w:szCs w:val="24"/>
        </w:rPr>
        <w:t>we used for our post-sample tests. This may impart an upward bias to their measured forecasting accuracy in our tests of their performance in predicting real activity.</w:t>
      </w:r>
      <w:r w:rsidRPr="00874D51">
        <w:rPr>
          <w:rStyle w:val="FootnoteReference"/>
          <w:szCs w:val="24"/>
        </w:rPr>
        <w:footnoteReference w:id="11"/>
      </w:r>
    </w:p>
    <w:p w:rsidR="009210F9" w:rsidRPr="00874D51" w:rsidRDefault="009210F9" w:rsidP="009210F9">
      <w:pPr>
        <w:pStyle w:val="ColorfulList-Accent11"/>
        <w:ind w:left="1800"/>
        <w:rPr>
          <w:szCs w:val="24"/>
        </w:rPr>
      </w:pPr>
    </w:p>
    <w:p w:rsidR="009210F9" w:rsidRPr="00874D51" w:rsidRDefault="009210F9" w:rsidP="009210F9">
      <w:pPr>
        <w:pStyle w:val="ColorfulList-Accent11"/>
        <w:ind w:left="0"/>
        <w:rPr>
          <w:szCs w:val="24"/>
        </w:rPr>
      </w:pPr>
      <w:r w:rsidRPr="00874D51">
        <w:rPr>
          <w:szCs w:val="24"/>
        </w:rPr>
        <w:t xml:space="preserve">Pseudo-out-of-sample forecasts were computed as in the previous section, but with the various FCIs used as the </w:t>
      </w:r>
      <w:r w:rsidRPr="00874D51">
        <w:rPr>
          <w:i/>
          <w:szCs w:val="24"/>
        </w:rPr>
        <w:t xml:space="preserve">x </w:t>
      </w:r>
      <w:r w:rsidRPr="00874D51">
        <w:rPr>
          <w:szCs w:val="24"/>
        </w:rPr>
        <w:t>variables in the regressions.  The results for this forecasting exercise are summarized in Table 3.3, which shows the average relative RMSEs for each FCI over the same 5-year periods used in Table 3.2.  The limited history of the FCIs leads to a large number of blank entries in the table because forecasts are constructed from regressions using a minimum of 40 quarterly observations. Thus, for example, because the GS FCI begins in 1980:</w:t>
      </w:r>
      <w:r>
        <w:rPr>
          <w:szCs w:val="24"/>
        </w:rPr>
        <w:t>Q1</w:t>
      </w:r>
      <w:r w:rsidRPr="00874D51">
        <w:rPr>
          <w:szCs w:val="24"/>
        </w:rPr>
        <w:t>, the first 2-quarter ahead forecast was constructed in 1991:</w:t>
      </w:r>
      <w:r>
        <w:rPr>
          <w:szCs w:val="24"/>
        </w:rPr>
        <w:t>Q4</w:t>
      </w:r>
      <w:r w:rsidRPr="00874D51">
        <w:rPr>
          <w:szCs w:val="24"/>
        </w:rPr>
        <w:t xml:space="preserve"> to allow for a maximum of </w:t>
      </w:r>
      <w:r>
        <w:rPr>
          <w:szCs w:val="24"/>
        </w:rPr>
        <w:t>4</w:t>
      </w:r>
      <w:r w:rsidRPr="00874D51">
        <w:rPr>
          <w:szCs w:val="24"/>
        </w:rPr>
        <w:t xml:space="preserve"> lags.</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sidRPr="00874D51">
        <w:rPr>
          <w:szCs w:val="24"/>
        </w:rPr>
        <w:t>The key findings in Table 3.3 can be summarized as follows:</w:t>
      </w:r>
      <w:r>
        <w:rPr>
          <w:szCs w:val="24"/>
        </w:rPr>
        <w:br/>
      </w:r>
      <w:r w:rsidRPr="00874D51">
        <w:rPr>
          <w:szCs w:val="24"/>
        </w:rPr>
        <w:t xml:space="preserve"> </w:t>
      </w:r>
    </w:p>
    <w:p w:rsidR="009210F9" w:rsidRDefault="009210F9" w:rsidP="009210F9">
      <w:pPr>
        <w:pStyle w:val="ColorfulList-Accent11"/>
        <w:numPr>
          <w:ilvl w:val="0"/>
          <w:numId w:val="5"/>
        </w:numPr>
        <w:rPr>
          <w:szCs w:val="24"/>
        </w:rPr>
      </w:pPr>
      <w:r>
        <w:rPr>
          <w:szCs w:val="24"/>
        </w:rPr>
        <w:t>P</w:t>
      </w:r>
      <w:r w:rsidRPr="00874D51">
        <w:rPr>
          <w:szCs w:val="24"/>
        </w:rPr>
        <w:t xml:space="preserve">ooling of information </w:t>
      </w:r>
      <w:r>
        <w:rPr>
          <w:szCs w:val="24"/>
        </w:rPr>
        <w:t>appears to</w:t>
      </w:r>
      <w:r w:rsidRPr="00874D51">
        <w:rPr>
          <w:szCs w:val="24"/>
        </w:rPr>
        <w:t xml:space="preserve"> improve the predictive ability of financial indicators, at least during periods of unusual financial stress. </w:t>
      </w:r>
      <w:r>
        <w:rPr>
          <w:szCs w:val="24"/>
        </w:rPr>
        <w:t xml:space="preserve">The FCIs outperformed the single financial indicator models on average, and the best of the FCIs outperformed the stock market index (the best of the single indicator models). However, </w:t>
      </w:r>
      <w:r w:rsidRPr="00874D51">
        <w:rPr>
          <w:szCs w:val="24"/>
        </w:rPr>
        <w:t>the average performance of the FCIs was no</w:t>
      </w:r>
      <w:r>
        <w:rPr>
          <w:szCs w:val="24"/>
        </w:rPr>
        <w:t>t</w:t>
      </w:r>
      <w:r w:rsidRPr="00874D51">
        <w:rPr>
          <w:szCs w:val="24"/>
        </w:rPr>
        <w:t xml:space="preserve"> better than that of the stock market index.</w:t>
      </w:r>
    </w:p>
    <w:p w:rsidR="009210F9" w:rsidRPr="00FF001B" w:rsidRDefault="009210F9" w:rsidP="009210F9">
      <w:pPr>
        <w:pStyle w:val="ColorfulList-Accent11"/>
        <w:numPr>
          <w:ilvl w:val="0"/>
          <w:numId w:val="5"/>
        </w:numPr>
        <w:rPr>
          <w:szCs w:val="24"/>
        </w:rPr>
      </w:pPr>
      <w:r w:rsidRPr="00FF001B">
        <w:rPr>
          <w:szCs w:val="24"/>
        </w:rPr>
        <w:t xml:space="preserve">During the 1990s, some of the </w:t>
      </w:r>
      <w:r>
        <w:rPr>
          <w:szCs w:val="24"/>
        </w:rPr>
        <w:t>available</w:t>
      </w:r>
      <w:r w:rsidRPr="00FF001B">
        <w:rPr>
          <w:szCs w:val="24"/>
        </w:rPr>
        <w:t xml:space="preserve"> FCIs did not do as well as the AR model (relative RMSEs &gt; 1.0)</w:t>
      </w:r>
      <w:r>
        <w:rPr>
          <w:szCs w:val="24"/>
        </w:rPr>
        <w:t xml:space="preserve"> or the single indicator models</w:t>
      </w:r>
      <w:r w:rsidRPr="00FF001B">
        <w:rPr>
          <w:szCs w:val="24"/>
        </w:rPr>
        <w:t xml:space="preserve">. After 2000, the FCIs showed a noticeable improvement relative to both the AR model and the single financial indicator models.  </w:t>
      </w:r>
    </w:p>
    <w:p w:rsidR="009210F9" w:rsidRDefault="009210F9" w:rsidP="009210F9">
      <w:pPr>
        <w:pStyle w:val="ColorfulList-Accent11"/>
        <w:numPr>
          <w:ilvl w:val="0"/>
          <w:numId w:val="5"/>
        </w:numPr>
        <w:rPr>
          <w:szCs w:val="24"/>
        </w:rPr>
      </w:pPr>
      <w:r w:rsidRPr="00FF001B">
        <w:rPr>
          <w:szCs w:val="24"/>
        </w:rPr>
        <w:t>There is some evidence that in-sample overfitting is not a significant factor: During the most recent five-year period, the DB (PC) and the DB (FCI) performed comparably despite the f</w:t>
      </w:r>
      <w:r>
        <w:rPr>
          <w:szCs w:val="24"/>
        </w:rPr>
        <w:t xml:space="preserve">ormer’s </w:t>
      </w:r>
      <w:r w:rsidRPr="00874D51">
        <w:rPr>
          <w:szCs w:val="24"/>
        </w:rPr>
        <w:t>advantage of being constructed explicitly to predict GDP.</w:t>
      </w:r>
      <w:r w:rsidRPr="00DF1964">
        <w:rPr>
          <w:szCs w:val="24"/>
        </w:rPr>
        <w:t xml:space="preserve"> </w:t>
      </w:r>
    </w:p>
    <w:p w:rsidR="009210F9" w:rsidRPr="00874D51" w:rsidRDefault="009210F9" w:rsidP="009210F9">
      <w:pPr>
        <w:pStyle w:val="ColorfulList-Accent11"/>
        <w:numPr>
          <w:ilvl w:val="0"/>
          <w:numId w:val="5"/>
        </w:numPr>
        <w:rPr>
          <w:szCs w:val="24"/>
        </w:rPr>
      </w:pPr>
      <w:r>
        <w:rPr>
          <w:szCs w:val="24"/>
        </w:rPr>
        <w:t>Over the past decade, t</w:t>
      </w:r>
      <w:r w:rsidRPr="00874D51">
        <w:rPr>
          <w:szCs w:val="24"/>
        </w:rPr>
        <w:t>he KCFSI perform</w:t>
      </w:r>
      <w:r>
        <w:rPr>
          <w:szCs w:val="24"/>
        </w:rPr>
        <w:t>ed</w:t>
      </w:r>
      <w:r w:rsidRPr="00874D51">
        <w:rPr>
          <w:szCs w:val="24"/>
        </w:rPr>
        <w:t xml:space="preserve"> near the average</w:t>
      </w:r>
      <w:r>
        <w:rPr>
          <w:szCs w:val="24"/>
        </w:rPr>
        <w:t xml:space="preserve"> of the FCIs, so</w:t>
      </w:r>
      <w:r w:rsidRPr="00874D51">
        <w:rPr>
          <w:szCs w:val="24"/>
        </w:rPr>
        <w:t xml:space="preserve"> we use it below as representative.</w:t>
      </w:r>
    </w:p>
    <w:p w:rsidR="009210F9" w:rsidRDefault="009210F9" w:rsidP="009210F9">
      <w:pPr>
        <w:pStyle w:val="ColorfulList-Accent11"/>
        <w:rPr>
          <w:szCs w:val="24"/>
        </w:rPr>
      </w:pPr>
    </w:p>
    <w:p w:rsidR="009210F9" w:rsidRPr="00874D51" w:rsidRDefault="009210F9" w:rsidP="009210F9">
      <w:pPr>
        <w:pStyle w:val="ColorfulList-Accent11"/>
        <w:rPr>
          <w:szCs w:val="24"/>
        </w:rPr>
      </w:pPr>
    </w:p>
    <w:p w:rsidR="009210F9" w:rsidRPr="00874D51" w:rsidRDefault="009210F9" w:rsidP="009210F9">
      <w:pPr>
        <w:pStyle w:val="ColorfulList-Accent11"/>
        <w:ind w:left="0"/>
        <w:rPr>
          <w:b/>
          <w:szCs w:val="24"/>
        </w:rPr>
      </w:pPr>
    </w:p>
    <w:p w:rsidR="009210F9" w:rsidRPr="00874D51" w:rsidRDefault="009210F9" w:rsidP="009210F9">
      <w:pPr>
        <w:pStyle w:val="ColorfulList-Accent11"/>
        <w:ind w:left="0"/>
        <w:rPr>
          <w:b/>
          <w:szCs w:val="24"/>
        </w:rPr>
      </w:pPr>
    </w:p>
    <w:p w:rsidR="009210F9" w:rsidRDefault="009210F9" w:rsidP="009210F9">
      <w:pPr>
        <w:pStyle w:val="ColorfulList-Accent11"/>
        <w:ind w:left="0"/>
        <w:rPr>
          <w:b/>
          <w:szCs w:val="24"/>
        </w:rPr>
      </w:pPr>
    </w:p>
    <w:p w:rsidR="009210F9" w:rsidRDefault="009210F9" w:rsidP="009210F9">
      <w:pPr>
        <w:pStyle w:val="ColorfulList-Accent11"/>
        <w:ind w:left="0"/>
        <w:rPr>
          <w:b/>
          <w:szCs w:val="24"/>
        </w:rPr>
      </w:pPr>
    </w:p>
    <w:p w:rsidR="00D15C4E" w:rsidRDefault="00D15C4E" w:rsidP="009210F9">
      <w:pPr>
        <w:pStyle w:val="ColorfulList-Accent11"/>
        <w:ind w:left="0"/>
        <w:rPr>
          <w:b/>
          <w:szCs w:val="24"/>
        </w:rPr>
      </w:pPr>
    </w:p>
    <w:p w:rsidR="00D15C4E" w:rsidRDefault="00D15C4E" w:rsidP="009210F9">
      <w:pPr>
        <w:pStyle w:val="ColorfulList-Accent11"/>
        <w:ind w:left="0"/>
        <w:rPr>
          <w:b/>
          <w:szCs w:val="24"/>
        </w:rPr>
      </w:pPr>
    </w:p>
    <w:p w:rsidR="00D15C4E" w:rsidRDefault="00D15C4E" w:rsidP="009210F9">
      <w:pPr>
        <w:pStyle w:val="ColorfulList-Accent11"/>
        <w:ind w:left="0"/>
        <w:rPr>
          <w:b/>
          <w:szCs w:val="24"/>
        </w:rPr>
      </w:pPr>
    </w:p>
    <w:p w:rsidR="009210F9" w:rsidRPr="00874D51" w:rsidRDefault="009210F9" w:rsidP="009210F9">
      <w:pPr>
        <w:pStyle w:val="ColorfulList-Accent11"/>
        <w:ind w:left="0"/>
        <w:rPr>
          <w:b/>
          <w:szCs w:val="24"/>
        </w:rPr>
      </w:pPr>
      <w:r w:rsidRPr="00874D51">
        <w:rPr>
          <w:b/>
          <w:szCs w:val="24"/>
        </w:rPr>
        <w:t xml:space="preserve">4. </w:t>
      </w:r>
      <w:r w:rsidRPr="00874D51">
        <w:rPr>
          <w:b/>
          <w:i/>
          <w:szCs w:val="24"/>
        </w:rPr>
        <w:t xml:space="preserve"> </w:t>
      </w:r>
      <w:r w:rsidRPr="00874D51">
        <w:rPr>
          <w:b/>
          <w:szCs w:val="24"/>
        </w:rPr>
        <w:t>CONSTRUCTION OF A NEW FINANCIAL CONDITIONS INDEX</w:t>
      </w:r>
    </w:p>
    <w:p w:rsidR="009210F9" w:rsidRPr="00874D51" w:rsidRDefault="009210F9" w:rsidP="009210F9">
      <w:pPr>
        <w:pStyle w:val="ColorfulList-Accent11"/>
        <w:ind w:left="0"/>
        <w:rPr>
          <w:szCs w:val="24"/>
        </w:rPr>
      </w:pPr>
    </w:p>
    <w:p w:rsidR="009210F9" w:rsidRDefault="009210F9" w:rsidP="009210F9">
      <w:pPr>
        <w:spacing w:line="276" w:lineRule="auto"/>
        <w:rPr>
          <w:rFonts w:ascii="Times New Roman" w:hAnsi="Times New Roman"/>
        </w:rPr>
      </w:pPr>
      <w:r>
        <w:rPr>
          <w:rFonts w:ascii="Times New Roman" w:hAnsi="Times New Roman"/>
        </w:rPr>
        <w:t>We seek to address</w:t>
      </w:r>
      <w:r w:rsidRPr="00874D51">
        <w:rPr>
          <w:rFonts w:ascii="Times New Roman" w:hAnsi="Times New Roman"/>
        </w:rPr>
        <w:t xml:space="preserve"> three limitations of earlier financial conditions indexes.  First, previous FCIs cover only a limited span of history.  Second, the narrowness of the underlying series included in the indexes results in the exclusion of potentially important financial conditions.  Third, previous FCIs do not purge their measures of endogenous movements related to business cycle fluctuations </w:t>
      </w:r>
      <w:r>
        <w:rPr>
          <w:rFonts w:ascii="Times New Roman" w:hAnsi="Times New Roman"/>
        </w:rPr>
        <w:t xml:space="preserve">or of monetary policy influences </w:t>
      </w:r>
      <w:r w:rsidRPr="00874D51">
        <w:rPr>
          <w:rFonts w:ascii="Times New Roman" w:hAnsi="Times New Roman"/>
        </w:rPr>
        <w:t xml:space="preserve">and so are less representative of the shocks to the financial system. </w:t>
      </w:r>
    </w:p>
    <w:p w:rsidR="009210F9"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rPr>
      </w:pPr>
      <w:r w:rsidRPr="00874D51">
        <w:rPr>
          <w:rFonts w:ascii="Times New Roman" w:hAnsi="Times New Roman"/>
        </w:rPr>
        <w:t xml:space="preserve">In this section we develop a new, broader index of financial conditions in an effort to overcome the limitations of previous indexes.  An important goal </w:t>
      </w:r>
      <w:r>
        <w:rPr>
          <w:rFonts w:ascii="Times New Roman" w:hAnsi="Times New Roman"/>
        </w:rPr>
        <w:t>was</w:t>
      </w:r>
      <w:r w:rsidRPr="00874D51">
        <w:rPr>
          <w:rFonts w:ascii="Times New Roman" w:hAnsi="Times New Roman"/>
        </w:rPr>
        <w:t xml:space="preserve"> to see if </w:t>
      </w:r>
      <w:r>
        <w:rPr>
          <w:rFonts w:ascii="Times New Roman" w:hAnsi="Times New Roman"/>
        </w:rPr>
        <w:t xml:space="preserve">we could improve </w:t>
      </w:r>
      <w:r w:rsidRPr="00874D51">
        <w:rPr>
          <w:rFonts w:ascii="Times New Roman" w:hAnsi="Times New Roman"/>
        </w:rPr>
        <w:t xml:space="preserve">predictive performance </w:t>
      </w:r>
      <w:r>
        <w:rPr>
          <w:rFonts w:ascii="Times New Roman" w:hAnsi="Times New Roman"/>
        </w:rPr>
        <w:t xml:space="preserve">compared to </w:t>
      </w:r>
      <w:r w:rsidRPr="00874D51">
        <w:rPr>
          <w:rFonts w:ascii="Times New Roman" w:hAnsi="Times New Roman"/>
        </w:rPr>
        <w:t>existing FCIs, especially in light of the perceived importance of shifts in financial conditions in driving the most recent recession and recovery.  Accordingly, we established two criteria for the design and construction of a new index.  First, it needed to cover a wide range of financial variables, substantially wider than the coverage of any of the existing FCIs covered.  Second, it needed to have a relatively long history, ideally going back at least to the early 1970s.  As we will see, there is a tension between wide coverage and long history (many interesting financial variables have become available only relatively recently), but we were able to overcome some of this tension by using econometric methods designed for unbalanced panel datasets.  Third, we purged the underlying series that make up the financial conditions index of cyclical influences.</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b/>
          <w:szCs w:val="24"/>
        </w:rPr>
      </w:pPr>
      <w:r w:rsidRPr="00874D51">
        <w:rPr>
          <w:b/>
          <w:szCs w:val="24"/>
        </w:rPr>
        <w:t>4</w:t>
      </w:r>
      <w:r>
        <w:rPr>
          <w:b/>
          <w:szCs w:val="24"/>
        </w:rPr>
        <w:t>.</w:t>
      </w:r>
      <w:r w:rsidRPr="00874D51">
        <w:rPr>
          <w:b/>
          <w:szCs w:val="24"/>
        </w:rPr>
        <w:t>1 Selection of Financial Variables</w:t>
      </w:r>
    </w:p>
    <w:p w:rsidR="009210F9" w:rsidRPr="00874D51" w:rsidRDefault="009210F9" w:rsidP="009210F9">
      <w:pPr>
        <w:pStyle w:val="ColorfulList-Accent11"/>
        <w:ind w:left="0"/>
        <w:rPr>
          <w:b/>
          <w:szCs w:val="24"/>
        </w:rPr>
      </w:pPr>
    </w:p>
    <w:p w:rsidR="009210F9" w:rsidRPr="00874D51" w:rsidRDefault="009210F9" w:rsidP="009210F9">
      <w:pPr>
        <w:pStyle w:val="ColorfulList-Accent11"/>
        <w:ind w:left="0"/>
        <w:rPr>
          <w:szCs w:val="24"/>
        </w:rPr>
      </w:pPr>
      <w:r w:rsidRPr="00874D51">
        <w:rPr>
          <w:szCs w:val="24"/>
        </w:rPr>
        <w:t>The 4</w:t>
      </w:r>
      <w:r w:rsidR="00316075">
        <w:rPr>
          <w:szCs w:val="24"/>
        </w:rPr>
        <w:t>5</w:t>
      </w:r>
      <w:r w:rsidRPr="00874D51">
        <w:rPr>
          <w:szCs w:val="24"/>
        </w:rPr>
        <w:t xml:space="preserve"> variables we selected to include in our index are listed in Table 4.1.  Our starting point for the selection of these variables was the coverage of existing FCIs – we wanted to begin with a relatively full representation of the variables included in the FCIs surveyed in Section 2 (as laid out in Table 2.1).  This did not mean complete coverage of all the variables in Table 2.1, as there is a fair amount of overlap of very similar but not identical variables used </w:t>
      </w:r>
      <w:r>
        <w:rPr>
          <w:szCs w:val="24"/>
        </w:rPr>
        <w:t>in</w:t>
      </w:r>
      <w:r w:rsidRPr="00874D51">
        <w:rPr>
          <w:szCs w:val="24"/>
        </w:rPr>
        <w:t xml:space="preserve"> the different FCIs; for example, while Table 2.1 lists several broad measures of the stock market, we felt that only one was needed.  We </w:t>
      </w:r>
      <w:r>
        <w:rPr>
          <w:szCs w:val="24"/>
        </w:rPr>
        <w:t>chose not to</w:t>
      </w:r>
      <w:r w:rsidRPr="00874D51">
        <w:rPr>
          <w:szCs w:val="24"/>
        </w:rPr>
        <w:t xml:space="preserve"> include the fed funds rate or a close substitute </w:t>
      </w:r>
      <w:r>
        <w:rPr>
          <w:szCs w:val="24"/>
        </w:rPr>
        <w:t xml:space="preserve">(such as the </w:t>
      </w:r>
      <w:r w:rsidRPr="00874D51">
        <w:rPr>
          <w:szCs w:val="24"/>
        </w:rPr>
        <w:t>short-term Treasury rate</w:t>
      </w:r>
      <w:r>
        <w:rPr>
          <w:szCs w:val="24"/>
        </w:rPr>
        <w:t>). At a later stage in this analysis, we also purge the FCI of monetary policy influences that may arise from including the yield curve in the FCI.</w:t>
      </w:r>
      <w:r w:rsidRPr="00874D51">
        <w:rPr>
          <w:szCs w:val="24"/>
        </w:rPr>
        <w:t xml:space="preserve"> </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sidRPr="00874D51">
        <w:rPr>
          <w:szCs w:val="24"/>
        </w:rPr>
        <w:t>Next, we w</w:t>
      </w:r>
      <w:r>
        <w:rPr>
          <w:szCs w:val="24"/>
        </w:rPr>
        <w:t>ished</w:t>
      </w:r>
      <w:r w:rsidRPr="00874D51">
        <w:rPr>
          <w:szCs w:val="24"/>
        </w:rPr>
        <w:t xml:space="preserve"> to fill in areas </w:t>
      </w:r>
      <w:r>
        <w:rPr>
          <w:szCs w:val="24"/>
        </w:rPr>
        <w:t xml:space="preserve">that were not fully covered by </w:t>
      </w:r>
      <w:r w:rsidRPr="00874D51">
        <w:rPr>
          <w:szCs w:val="24"/>
        </w:rPr>
        <w:t xml:space="preserve">existing FCIs.  </w:t>
      </w:r>
      <w:r>
        <w:rPr>
          <w:szCs w:val="24"/>
        </w:rPr>
        <w:t>Most FCIs are</w:t>
      </w:r>
      <w:r w:rsidRPr="00874D51">
        <w:rPr>
          <w:szCs w:val="24"/>
        </w:rPr>
        <w:t xml:space="preserve"> dominated by interest rate level or spread variables and </w:t>
      </w:r>
      <w:r>
        <w:rPr>
          <w:szCs w:val="24"/>
        </w:rPr>
        <w:t xml:space="preserve">by </w:t>
      </w:r>
      <w:r w:rsidRPr="00874D51">
        <w:rPr>
          <w:szCs w:val="24"/>
        </w:rPr>
        <w:t>asset price variables</w:t>
      </w:r>
      <w:r>
        <w:rPr>
          <w:szCs w:val="24"/>
        </w:rPr>
        <w:t>, which</w:t>
      </w:r>
      <w:r w:rsidRPr="00874D51">
        <w:rPr>
          <w:szCs w:val="24"/>
        </w:rPr>
        <w:t xml:space="preserve"> we have captured as indicated in </w:t>
      </w:r>
      <w:r>
        <w:rPr>
          <w:szCs w:val="24"/>
        </w:rPr>
        <w:t>rows</w:t>
      </w:r>
      <w:r w:rsidRPr="00874D51">
        <w:rPr>
          <w:szCs w:val="24"/>
        </w:rPr>
        <w:t xml:space="preserve"> 1-</w:t>
      </w:r>
      <w:r w:rsidR="00316075">
        <w:rPr>
          <w:szCs w:val="24"/>
        </w:rPr>
        <w:t>20</w:t>
      </w:r>
      <w:r w:rsidRPr="00874D51">
        <w:rPr>
          <w:szCs w:val="24"/>
        </w:rPr>
        <w:t xml:space="preserve"> of Table 4.1.  We have added several price and spread variables that were not </w:t>
      </w:r>
      <w:r>
        <w:rPr>
          <w:szCs w:val="24"/>
        </w:rPr>
        <w:t xml:space="preserve">included </w:t>
      </w:r>
      <w:r w:rsidRPr="00874D51">
        <w:rPr>
          <w:szCs w:val="24"/>
        </w:rPr>
        <w:t xml:space="preserve">in </w:t>
      </w:r>
      <w:r>
        <w:rPr>
          <w:szCs w:val="24"/>
        </w:rPr>
        <w:t>other</w:t>
      </w:r>
      <w:r w:rsidRPr="00874D51">
        <w:rPr>
          <w:szCs w:val="24"/>
        </w:rPr>
        <w:t xml:space="preserve"> FCIs, including new-car loan rates, jumbo mortgage rates, and home prices.  (These variables are denoted by the </w:t>
      </w:r>
      <w:r>
        <w:rPr>
          <w:szCs w:val="24"/>
        </w:rPr>
        <w:t>“X”</w:t>
      </w:r>
      <w:r w:rsidRPr="00874D51">
        <w:rPr>
          <w:szCs w:val="24"/>
        </w:rPr>
        <w:t xml:space="preserve"> in the </w:t>
      </w:r>
      <w:r>
        <w:rPr>
          <w:szCs w:val="24"/>
        </w:rPr>
        <w:t>third</w:t>
      </w:r>
      <w:r w:rsidRPr="00874D51">
        <w:rPr>
          <w:szCs w:val="24"/>
        </w:rPr>
        <w:t xml:space="preserve"> column of Figure 4.1.) </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Pr>
          <w:szCs w:val="24"/>
        </w:rPr>
        <w:t>Existing FCIs also include few</w:t>
      </w:r>
      <w:r w:rsidRPr="00874D51">
        <w:rPr>
          <w:szCs w:val="24"/>
        </w:rPr>
        <w:t xml:space="preserve"> quantity</w:t>
      </w:r>
      <w:r>
        <w:rPr>
          <w:szCs w:val="24"/>
        </w:rPr>
        <w:t xml:space="preserve"> or </w:t>
      </w:r>
      <w:r w:rsidRPr="00874D51">
        <w:rPr>
          <w:szCs w:val="24"/>
        </w:rPr>
        <w:t xml:space="preserve">flow variables, and only one FCI included a survey variable.  During the recent financial meltdown, these </w:t>
      </w:r>
      <w:r>
        <w:rPr>
          <w:szCs w:val="24"/>
        </w:rPr>
        <w:t>indicators</w:t>
      </w:r>
      <w:r w:rsidRPr="00874D51">
        <w:rPr>
          <w:szCs w:val="24"/>
        </w:rPr>
        <w:t xml:space="preserve"> appeared to become much more important than they had been in the past.  At the same time, price signals became potentially less reliable as markets seized up, nonprice credit conditions tightened dramatically, and credit flows slowed </w:t>
      </w:r>
      <w:r>
        <w:rPr>
          <w:szCs w:val="24"/>
        </w:rPr>
        <w:t>abruptly</w:t>
      </w:r>
      <w:r w:rsidRPr="00874D51">
        <w:rPr>
          <w:szCs w:val="24"/>
        </w:rPr>
        <w:t>.  In an effort to capture these effects, we added 15 financial stock and flow variables to the list, including a representative sample of bank and non-bank credit variables in a variety of markets.  We also included seven survey indicators of financial conditions from the Fed’s Senior Loan Officer Survey of bank lending conditions, the University of Michigan’s survey covering consumer credit conditions, and the National Federation of Independent Business survey of small business credit conditions.</w:t>
      </w:r>
      <w:r>
        <w:rPr>
          <w:rStyle w:val="FootnoteReference"/>
          <w:szCs w:val="24"/>
        </w:rPr>
        <w:footnoteReference w:id="12"/>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b/>
          <w:szCs w:val="24"/>
        </w:rPr>
      </w:pPr>
      <w:r w:rsidRPr="00874D51">
        <w:rPr>
          <w:b/>
          <w:szCs w:val="24"/>
        </w:rPr>
        <w:t>4.2 Historical Coverage</w:t>
      </w:r>
    </w:p>
    <w:p w:rsidR="009210F9" w:rsidRPr="00874D51" w:rsidRDefault="009210F9" w:rsidP="009210F9">
      <w:pPr>
        <w:pStyle w:val="ColorfulList-Accent11"/>
        <w:ind w:left="0"/>
        <w:rPr>
          <w:b/>
          <w:szCs w:val="24"/>
        </w:rPr>
      </w:pPr>
    </w:p>
    <w:p w:rsidR="009210F9" w:rsidRPr="00874D51" w:rsidRDefault="009210F9" w:rsidP="009210F9">
      <w:pPr>
        <w:pStyle w:val="ColorfulList-Accent11"/>
        <w:ind w:left="0"/>
        <w:rPr>
          <w:szCs w:val="24"/>
        </w:rPr>
      </w:pPr>
      <w:r w:rsidRPr="00874D51">
        <w:rPr>
          <w:szCs w:val="24"/>
        </w:rPr>
        <w:t xml:space="preserve">Not all of the financial indicators we selected have histories going back as far as desired.  This unbalanced nature of our data panel is exhibited in Figure 4.1. For clarity, the start date of each of our financial indicators is given in the fifth column of Table 4.1.   Only one-fourth of the </w:t>
      </w:r>
      <w:r w:rsidR="009C43EB">
        <w:rPr>
          <w:szCs w:val="24"/>
        </w:rPr>
        <w:t>45</w:t>
      </w:r>
      <w:r w:rsidRPr="00874D51">
        <w:rPr>
          <w:szCs w:val="24"/>
        </w:rPr>
        <w:t xml:space="preserve"> series go back to the beginning of the 1970s, but two-thirds go back to the early 1980s, and about 90% to the mid-1990s. Fortunately, nearly half of the variables in the new areas we have chosen to stress</w:t>
      </w:r>
      <w:r>
        <w:rPr>
          <w:szCs w:val="24"/>
        </w:rPr>
        <w:t xml:space="preserve"> –</w:t>
      </w:r>
      <w:r w:rsidRPr="00874D51">
        <w:rPr>
          <w:szCs w:val="24"/>
        </w:rPr>
        <w:t xml:space="preserve"> stocks</w:t>
      </w:r>
      <w:r>
        <w:rPr>
          <w:szCs w:val="24"/>
        </w:rPr>
        <w:t xml:space="preserve"> outstanding</w:t>
      </w:r>
      <w:r w:rsidRPr="00874D51">
        <w:rPr>
          <w:szCs w:val="24"/>
        </w:rPr>
        <w:t>, flows, and surveys</w:t>
      </w:r>
      <w:r>
        <w:rPr>
          <w:szCs w:val="24"/>
        </w:rPr>
        <w:t xml:space="preserve"> –</w:t>
      </w:r>
      <w:r w:rsidRPr="00874D51">
        <w:rPr>
          <w:szCs w:val="24"/>
        </w:rPr>
        <w:t xml:space="preserve"> go back to the 1970s.  Many of the more recent series have become available as new markets emerged over time, including, for example, those relating to securitized consumer and business credit and credit default swaps.  </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b/>
          <w:szCs w:val="24"/>
        </w:rPr>
      </w:pPr>
      <w:r w:rsidRPr="00874D51">
        <w:rPr>
          <w:b/>
          <w:szCs w:val="24"/>
        </w:rPr>
        <w:t>4.3 Econometric Approach</w:t>
      </w:r>
    </w:p>
    <w:p w:rsidR="009210F9" w:rsidRPr="00874D51" w:rsidRDefault="009210F9" w:rsidP="009210F9">
      <w:pPr>
        <w:pStyle w:val="ColorfulList-Accent11"/>
        <w:ind w:left="0"/>
        <w:rPr>
          <w:b/>
          <w:szCs w:val="24"/>
        </w:rPr>
      </w:pPr>
    </w:p>
    <w:p w:rsidR="009210F9" w:rsidRPr="00874D51" w:rsidRDefault="009210F9" w:rsidP="009210F9">
      <w:pPr>
        <w:pStyle w:val="ColorfulList-Accent11"/>
        <w:ind w:left="0"/>
        <w:rPr>
          <w:szCs w:val="24"/>
        </w:rPr>
      </w:pPr>
      <w:r w:rsidRPr="00874D51">
        <w:rPr>
          <w:szCs w:val="24"/>
        </w:rPr>
        <w:t xml:space="preserve">Like </w:t>
      </w:r>
      <w:r>
        <w:rPr>
          <w:szCs w:val="24"/>
        </w:rPr>
        <w:t>some</w:t>
      </w:r>
      <w:r w:rsidRPr="00874D51">
        <w:rPr>
          <w:szCs w:val="24"/>
        </w:rPr>
        <w:t xml:space="preserve"> of the FCIs discussed above, we summarize the information in the indicators using principal component</w:t>
      </w:r>
      <w:r>
        <w:rPr>
          <w:szCs w:val="24"/>
        </w:rPr>
        <w:t>s. However,</w:t>
      </w:r>
      <w:r w:rsidRPr="00874D51">
        <w:rPr>
          <w:szCs w:val="24"/>
        </w:rPr>
        <w:t xml:space="preserve"> our methods differ from standard applications in three key ways.  First, we allow for unbalanced panels (that is, for data series that begin and end at different points in the sample)</w:t>
      </w:r>
      <w:r>
        <w:rPr>
          <w:szCs w:val="24"/>
        </w:rPr>
        <w:t>.  S</w:t>
      </w:r>
      <w:r w:rsidRPr="00874D51">
        <w:rPr>
          <w:szCs w:val="24"/>
        </w:rPr>
        <w:t>econd, we eliminate variability in the financial variables that can be explained by current and past real activity and inflation so that the principal components reflect exogenous information associated with the financial sector rather than feedback from macroeconomic conditions</w:t>
      </w:r>
      <w:r>
        <w:rPr>
          <w:szCs w:val="24"/>
        </w:rPr>
        <w:t>.</w:t>
      </w:r>
      <w:r>
        <w:rPr>
          <w:rStyle w:val="FootnoteReference"/>
          <w:szCs w:val="24"/>
        </w:rPr>
        <w:footnoteReference w:id="13"/>
      </w:r>
      <w:r>
        <w:rPr>
          <w:szCs w:val="24"/>
        </w:rPr>
        <w:t xml:space="preserve"> T</w:t>
      </w:r>
      <w:r w:rsidRPr="00874D51">
        <w:rPr>
          <w:szCs w:val="24"/>
        </w:rPr>
        <w:t xml:space="preserve">hird, we summarize the financial variables using more than a single principal component.  This subsection summarizes the methods used to compute the principal components of the </w:t>
      </w:r>
      <w:r w:rsidR="00316075" w:rsidRPr="00874D51">
        <w:rPr>
          <w:szCs w:val="24"/>
        </w:rPr>
        <w:t>4</w:t>
      </w:r>
      <w:r w:rsidR="00316075">
        <w:rPr>
          <w:szCs w:val="24"/>
        </w:rPr>
        <w:t>5</w:t>
      </w:r>
      <w:r w:rsidR="00316075" w:rsidRPr="00874D51">
        <w:rPr>
          <w:szCs w:val="24"/>
        </w:rPr>
        <w:t xml:space="preserve"> </w:t>
      </w:r>
      <w:r w:rsidRPr="00874D51">
        <w:rPr>
          <w:szCs w:val="24"/>
        </w:rPr>
        <w:t>financial series.  The forecasting performance of these principal components is discussed in the next subsection.</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sidRPr="00874D51">
        <w:rPr>
          <w:szCs w:val="24"/>
        </w:rPr>
        <w:t xml:space="preserve">Let </w:t>
      </w:r>
      <w:r w:rsidRPr="00874D51">
        <w:rPr>
          <w:i/>
          <w:szCs w:val="24"/>
        </w:rPr>
        <w:t>X</w:t>
      </w:r>
      <w:r w:rsidRPr="00874D51">
        <w:rPr>
          <w:i/>
          <w:szCs w:val="24"/>
          <w:vertAlign w:val="subscript"/>
        </w:rPr>
        <w:t>it</w:t>
      </w:r>
      <w:r w:rsidRPr="00874D51">
        <w:rPr>
          <w:szCs w:val="24"/>
        </w:rPr>
        <w:t xml:space="preserve"> denote the </w:t>
      </w:r>
      <w:r w:rsidRPr="00874D51">
        <w:rPr>
          <w:i/>
          <w:szCs w:val="24"/>
        </w:rPr>
        <w:t>i</w:t>
      </w:r>
      <w:r w:rsidRPr="00874D51">
        <w:rPr>
          <w:szCs w:val="24"/>
        </w:rPr>
        <w:t xml:space="preserve">’th financial indicator at time </w:t>
      </w:r>
      <w:r w:rsidRPr="00874D51">
        <w:rPr>
          <w:i/>
          <w:szCs w:val="24"/>
        </w:rPr>
        <w:t>t</w:t>
      </w:r>
      <w:r w:rsidRPr="00874D51">
        <w:rPr>
          <w:szCs w:val="24"/>
        </w:rPr>
        <w:t xml:space="preserve">, </w:t>
      </w:r>
      <w:r w:rsidRPr="00874D51">
        <w:rPr>
          <w:i/>
          <w:szCs w:val="24"/>
        </w:rPr>
        <w:t>Y</w:t>
      </w:r>
      <w:r w:rsidRPr="00874D51">
        <w:rPr>
          <w:i/>
          <w:szCs w:val="24"/>
          <w:vertAlign w:val="subscript"/>
        </w:rPr>
        <w:t>t</w:t>
      </w:r>
      <w:r w:rsidRPr="00874D51">
        <w:rPr>
          <w:szCs w:val="24"/>
        </w:rPr>
        <w:t xml:space="preserve"> denote a vector of macroeconomic indicators (the growth rate of real GDP and inflation in our implementation) and consider the regression equation </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lang w:val="fr-FR"/>
        </w:rPr>
      </w:pPr>
      <w:r w:rsidRPr="00874D51">
        <w:rPr>
          <w:i/>
          <w:szCs w:val="24"/>
        </w:rPr>
        <w:tab/>
      </w:r>
      <w:r w:rsidRPr="00874D51">
        <w:rPr>
          <w:i/>
          <w:szCs w:val="24"/>
        </w:rPr>
        <w:tab/>
      </w:r>
      <w:r w:rsidRPr="00874D51">
        <w:rPr>
          <w:i/>
          <w:szCs w:val="24"/>
        </w:rPr>
        <w:tab/>
      </w:r>
      <w:r w:rsidRPr="00874D51">
        <w:rPr>
          <w:i/>
          <w:szCs w:val="24"/>
        </w:rPr>
        <w:tab/>
      </w:r>
      <w:r w:rsidRPr="00874D51">
        <w:rPr>
          <w:i/>
          <w:szCs w:val="24"/>
          <w:lang w:val="fr-FR"/>
        </w:rPr>
        <w:t>X</w:t>
      </w:r>
      <w:r w:rsidRPr="00874D51">
        <w:rPr>
          <w:i/>
          <w:szCs w:val="24"/>
          <w:vertAlign w:val="subscript"/>
          <w:lang w:val="fr-FR"/>
        </w:rPr>
        <w:t>it</w:t>
      </w:r>
      <w:r w:rsidRPr="00874D51">
        <w:rPr>
          <w:szCs w:val="24"/>
          <w:lang w:val="fr-FR"/>
        </w:rPr>
        <w:t xml:space="preserve"> = </w:t>
      </w:r>
      <w:r w:rsidRPr="00874D51">
        <w:rPr>
          <w:i/>
          <w:szCs w:val="24"/>
          <w:lang w:val="fr-FR"/>
        </w:rPr>
        <w:t>A</w:t>
      </w:r>
      <w:r w:rsidRPr="00874D51">
        <w:rPr>
          <w:i/>
          <w:szCs w:val="24"/>
          <w:vertAlign w:val="subscript"/>
          <w:lang w:val="fr-FR"/>
        </w:rPr>
        <w:t>i</w:t>
      </w:r>
      <w:r w:rsidRPr="00874D51">
        <w:rPr>
          <w:szCs w:val="24"/>
          <w:lang w:val="fr-FR"/>
        </w:rPr>
        <w:t>(L)</w:t>
      </w:r>
      <w:r w:rsidRPr="00874D51">
        <w:rPr>
          <w:i/>
          <w:szCs w:val="24"/>
          <w:lang w:val="fr-FR"/>
        </w:rPr>
        <w:t>Y</w:t>
      </w:r>
      <w:r w:rsidRPr="00874D51">
        <w:rPr>
          <w:i/>
          <w:szCs w:val="24"/>
          <w:vertAlign w:val="subscript"/>
          <w:lang w:val="fr-FR"/>
        </w:rPr>
        <w:t>t</w:t>
      </w:r>
      <w:r w:rsidRPr="00874D51">
        <w:rPr>
          <w:szCs w:val="24"/>
          <w:lang w:val="fr-FR"/>
        </w:rPr>
        <w:t xml:space="preserve"> + </w:t>
      </w:r>
      <w:r w:rsidRPr="00874D51">
        <w:rPr>
          <w:i/>
          <w:szCs w:val="24"/>
          <w:lang w:val="fr-FR"/>
        </w:rPr>
        <w:t>v</w:t>
      </w:r>
      <w:r w:rsidRPr="00874D51">
        <w:rPr>
          <w:i/>
          <w:szCs w:val="24"/>
          <w:vertAlign w:val="subscript"/>
          <w:lang w:val="fr-FR"/>
        </w:rPr>
        <w:t>it</w:t>
      </w:r>
      <w:r w:rsidRPr="00874D51">
        <w:rPr>
          <w:i/>
          <w:szCs w:val="24"/>
          <w:vertAlign w:val="subscript"/>
          <w:lang w:val="fr-FR"/>
        </w:rPr>
        <w:tab/>
      </w:r>
      <w:r w:rsidRPr="00874D51">
        <w:rPr>
          <w:i/>
          <w:szCs w:val="24"/>
          <w:vertAlign w:val="subscript"/>
          <w:lang w:val="fr-FR"/>
        </w:rPr>
        <w:tab/>
      </w:r>
      <w:r w:rsidRPr="00874D51">
        <w:rPr>
          <w:i/>
          <w:szCs w:val="24"/>
          <w:vertAlign w:val="subscript"/>
          <w:lang w:val="fr-FR"/>
        </w:rPr>
        <w:tab/>
      </w:r>
      <w:r w:rsidRPr="00874D51">
        <w:rPr>
          <w:i/>
          <w:szCs w:val="24"/>
          <w:vertAlign w:val="subscript"/>
          <w:lang w:val="fr-FR"/>
        </w:rPr>
        <w:tab/>
      </w:r>
      <w:r w:rsidRPr="00874D51">
        <w:rPr>
          <w:szCs w:val="24"/>
          <w:lang w:val="fr-FR"/>
        </w:rPr>
        <w:t>(2)</w:t>
      </w:r>
    </w:p>
    <w:p w:rsidR="009210F9" w:rsidRPr="00874D51" w:rsidRDefault="009210F9" w:rsidP="009210F9">
      <w:pPr>
        <w:pStyle w:val="ColorfulList-Accent11"/>
        <w:ind w:left="0"/>
        <w:rPr>
          <w:szCs w:val="24"/>
          <w:lang w:val="fr-FR"/>
        </w:rPr>
      </w:pPr>
    </w:p>
    <w:p w:rsidR="009210F9" w:rsidRPr="00874D51" w:rsidRDefault="009210F9" w:rsidP="009210F9">
      <w:pPr>
        <w:pStyle w:val="ColorfulList-Accent11"/>
        <w:ind w:left="0"/>
        <w:rPr>
          <w:szCs w:val="24"/>
        </w:rPr>
      </w:pPr>
      <w:r w:rsidRPr="00874D51">
        <w:rPr>
          <w:szCs w:val="24"/>
        </w:rPr>
        <w:t xml:space="preserve">where </w:t>
      </w:r>
      <w:r w:rsidRPr="00874D51">
        <w:rPr>
          <w:i/>
          <w:szCs w:val="24"/>
        </w:rPr>
        <w:t>v</w:t>
      </w:r>
      <w:r w:rsidRPr="00874D51">
        <w:rPr>
          <w:i/>
          <w:szCs w:val="24"/>
          <w:vertAlign w:val="subscript"/>
        </w:rPr>
        <w:t>it</w:t>
      </w:r>
      <w:r w:rsidRPr="00874D51">
        <w:rPr>
          <w:szCs w:val="24"/>
        </w:rPr>
        <w:t xml:space="preserve"> is uncorrelated with current and lagged values of </w:t>
      </w:r>
      <w:r w:rsidRPr="00874D51">
        <w:rPr>
          <w:i/>
          <w:szCs w:val="24"/>
        </w:rPr>
        <w:t>Y</w:t>
      </w:r>
      <w:r w:rsidRPr="00874D51">
        <w:rPr>
          <w:i/>
          <w:szCs w:val="24"/>
          <w:vertAlign w:val="subscript"/>
        </w:rPr>
        <w:t>t</w:t>
      </w:r>
      <w:r w:rsidRPr="00874D51">
        <w:rPr>
          <w:szCs w:val="24"/>
        </w:rPr>
        <w:t xml:space="preserve">, and thus represents the financial variable purged of its relation with current and lagged </w:t>
      </w:r>
      <w:r w:rsidRPr="00874D51">
        <w:rPr>
          <w:i/>
          <w:szCs w:val="24"/>
        </w:rPr>
        <w:t>Y</w:t>
      </w:r>
      <w:r w:rsidRPr="00874D51">
        <w:rPr>
          <w:szCs w:val="24"/>
        </w:rPr>
        <w:t xml:space="preserve">.  Suppose that </w:t>
      </w:r>
      <w:r w:rsidRPr="00874D51">
        <w:rPr>
          <w:i/>
          <w:szCs w:val="24"/>
        </w:rPr>
        <w:t>v</w:t>
      </w:r>
      <w:r w:rsidRPr="00874D51">
        <w:rPr>
          <w:i/>
          <w:szCs w:val="24"/>
          <w:vertAlign w:val="subscript"/>
        </w:rPr>
        <w:t>it</w:t>
      </w:r>
      <w:r w:rsidRPr="00874D51">
        <w:rPr>
          <w:szCs w:val="24"/>
        </w:rPr>
        <w:t xml:space="preserve"> can be decomposed as</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2160" w:firstLine="720"/>
        <w:rPr>
          <w:szCs w:val="24"/>
        </w:rPr>
      </w:pPr>
      <w:r w:rsidRPr="00874D51">
        <w:rPr>
          <w:i/>
          <w:szCs w:val="24"/>
        </w:rPr>
        <w:t>v</w:t>
      </w:r>
      <w:r w:rsidRPr="00874D51">
        <w:rPr>
          <w:i/>
          <w:szCs w:val="24"/>
          <w:vertAlign w:val="subscript"/>
        </w:rPr>
        <w:t>it</w:t>
      </w:r>
      <w:r w:rsidRPr="00874D51">
        <w:rPr>
          <w:szCs w:val="24"/>
        </w:rPr>
        <w:t xml:space="preserve"> =  </w:t>
      </w:r>
      <w:r w:rsidRPr="00874D51">
        <w:rPr>
          <w:i/>
          <w:szCs w:val="24"/>
        </w:rPr>
        <w:sym w:font="Symbol" w:char="F06C"/>
      </w:r>
      <w:r w:rsidRPr="00874D51">
        <w:rPr>
          <w:i/>
          <w:szCs w:val="24"/>
          <w:vertAlign w:val="subscript"/>
        </w:rPr>
        <w:t>i</w:t>
      </w:r>
      <w:r w:rsidRPr="00874D51">
        <w:rPr>
          <w:szCs w:val="24"/>
        </w:rPr>
        <w:t>′</w:t>
      </w:r>
      <w:r w:rsidRPr="00874D51">
        <w:rPr>
          <w:i/>
          <w:szCs w:val="24"/>
        </w:rPr>
        <w:t>F</w:t>
      </w:r>
      <w:r w:rsidRPr="00874D51">
        <w:rPr>
          <w:i/>
          <w:szCs w:val="24"/>
          <w:vertAlign w:val="subscript"/>
        </w:rPr>
        <w:t>t</w:t>
      </w:r>
      <w:r w:rsidRPr="00874D51">
        <w:rPr>
          <w:szCs w:val="24"/>
        </w:rPr>
        <w:t xml:space="preserve"> + </w:t>
      </w:r>
      <w:r w:rsidRPr="00874D51">
        <w:rPr>
          <w:i/>
          <w:szCs w:val="24"/>
        </w:rPr>
        <w:t>u</w:t>
      </w:r>
      <w:r w:rsidRPr="00874D51">
        <w:rPr>
          <w:i/>
          <w:szCs w:val="24"/>
          <w:vertAlign w:val="subscript"/>
        </w:rPr>
        <w:t>it</w:t>
      </w:r>
      <w:r w:rsidRPr="00874D51">
        <w:rPr>
          <w:szCs w:val="24"/>
        </w:rPr>
        <w:t>.</w:t>
      </w:r>
      <w:r w:rsidRPr="00874D51">
        <w:rPr>
          <w:szCs w:val="24"/>
        </w:rPr>
        <w:tab/>
      </w:r>
      <w:r w:rsidRPr="00874D51">
        <w:rPr>
          <w:szCs w:val="24"/>
        </w:rPr>
        <w:tab/>
      </w:r>
      <w:r w:rsidRPr="00874D51">
        <w:rPr>
          <w:szCs w:val="24"/>
        </w:rPr>
        <w:tab/>
      </w:r>
      <w:r w:rsidRPr="00874D51">
        <w:rPr>
          <w:szCs w:val="24"/>
        </w:rPr>
        <w:tab/>
        <w:t>(3)</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sidRPr="00874D51">
        <w:rPr>
          <w:szCs w:val="24"/>
        </w:rPr>
        <w:t xml:space="preserve">where </w:t>
      </w:r>
      <w:r w:rsidRPr="00874D51">
        <w:rPr>
          <w:i/>
          <w:szCs w:val="24"/>
        </w:rPr>
        <w:t>F</w:t>
      </w:r>
      <w:r w:rsidRPr="00874D51">
        <w:rPr>
          <w:i/>
          <w:szCs w:val="24"/>
          <w:vertAlign w:val="subscript"/>
        </w:rPr>
        <w:t>t</w:t>
      </w:r>
      <w:r w:rsidRPr="00874D51">
        <w:rPr>
          <w:szCs w:val="24"/>
        </w:rPr>
        <w:t xml:space="preserve">  is a </w:t>
      </w:r>
      <w:r w:rsidRPr="00874D51">
        <w:rPr>
          <w:i/>
          <w:szCs w:val="24"/>
        </w:rPr>
        <w:t>k</w:t>
      </w:r>
      <w:r w:rsidRPr="00874D51">
        <w:rPr>
          <w:szCs w:val="24"/>
        </w:rPr>
        <w:t xml:space="preserve">×1 vector of unobserved financial factors, and </w:t>
      </w:r>
      <w:r w:rsidRPr="00874D51">
        <w:rPr>
          <w:i/>
          <w:szCs w:val="24"/>
        </w:rPr>
        <w:t>u</w:t>
      </w:r>
      <w:r w:rsidRPr="00874D51">
        <w:rPr>
          <w:i/>
          <w:szCs w:val="24"/>
          <w:vertAlign w:val="subscript"/>
        </w:rPr>
        <w:t>it</w:t>
      </w:r>
      <w:r w:rsidRPr="00874D51">
        <w:rPr>
          <w:szCs w:val="24"/>
        </w:rPr>
        <w:t xml:space="preserve"> captures “unique” variation in </w:t>
      </w:r>
      <w:r w:rsidRPr="00874D51">
        <w:rPr>
          <w:i/>
          <w:szCs w:val="24"/>
        </w:rPr>
        <w:t>v</w:t>
      </w:r>
      <w:r w:rsidRPr="00874D51">
        <w:rPr>
          <w:i/>
          <w:szCs w:val="24"/>
          <w:vertAlign w:val="subscript"/>
        </w:rPr>
        <w:t>it</w:t>
      </w:r>
      <w:r w:rsidRPr="00874D51">
        <w:rPr>
          <w:szCs w:val="24"/>
        </w:rPr>
        <w:t xml:space="preserve"> that is unrelated to </w:t>
      </w:r>
      <w:r w:rsidRPr="00874D51">
        <w:rPr>
          <w:i/>
          <w:szCs w:val="24"/>
        </w:rPr>
        <w:t>F</w:t>
      </w:r>
      <w:r w:rsidRPr="00874D51">
        <w:rPr>
          <w:i/>
          <w:szCs w:val="24"/>
          <w:vertAlign w:val="subscript"/>
        </w:rPr>
        <w:t>t</w:t>
      </w:r>
      <w:r w:rsidRPr="00874D51">
        <w:rPr>
          <w:szCs w:val="24"/>
        </w:rPr>
        <w:t xml:space="preserve"> and </w:t>
      </w:r>
      <w:r w:rsidRPr="00874D51">
        <w:rPr>
          <w:i/>
          <w:szCs w:val="24"/>
        </w:rPr>
        <w:t>Y</w:t>
      </w:r>
      <w:r w:rsidRPr="00874D51">
        <w:rPr>
          <w:i/>
          <w:szCs w:val="24"/>
          <w:vertAlign w:val="subscript"/>
        </w:rPr>
        <w:t>t</w:t>
      </w:r>
      <w:r w:rsidRPr="00874D51">
        <w:rPr>
          <w:szCs w:val="24"/>
        </w:rPr>
        <w:t xml:space="preserve">.  Under the assumption that the </w:t>
      </w:r>
      <w:r w:rsidRPr="00874D51">
        <w:rPr>
          <w:i/>
          <w:szCs w:val="24"/>
        </w:rPr>
        <w:t>u</w:t>
      </w:r>
      <w:r w:rsidRPr="00874D51">
        <w:rPr>
          <w:i/>
          <w:szCs w:val="24"/>
          <w:vertAlign w:val="subscript"/>
        </w:rPr>
        <w:t>it</w:t>
      </w:r>
      <w:r w:rsidRPr="00874D51">
        <w:rPr>
          <w:szCs w:val="24"/>
        </w:rPr>
        <w:t xml:space="preserve"> are uncorrelated (or “weakly” correlated) across the financial variables, the vector </w:t>
      </w:r>
      <w:r w:rsidRPr="00874D51">
        <w:rPr>
          <w:i/>
          <w:szCs w:val="24"/>
        </w:rPr>
        <w:t>F</w:t>
      </w:r>
      <w:r w:rsidRPr="00874D51">
        <w:rPr>
          <w:i/>
          <w:szCs w:val="24"/>
          <w:vertAlign w:val="subscript"/>
        </w:rPr>
        <w:t>t</w:t>
      </w:r>
      <w:r w:rsidRPr="00874D51">
        <w:rPr>
          <w:szCs w:val="24"/>
        </w:rPr>
        <w:t xml:space="preserve"> captures the covariation or comovement in the financial indicators.  Thus, the goal of the econometric analysis is to estimate </w:t>
      </w:r>
      <w:r w:rsidRPr="00874D51">
        <w:rPr>
          <w:i/>
          <w:szCs w:val="24"/>
        </w:rPr>
        <w:t>F</w:t>
      </w:r>
      <w:r w:rsidRPr="00874D51">
        <w:rPr>
          <w:i/>
          <w:szCs w:val="24"/>
          <w:vertAlign w:val="subscript"/>
        </w:rPr>
        <w:t>t</w:t>
      </w:r>
      <w:r w:rsidRPr="00874D51">
        <w:rPr>
          <w:szCs w:val="24"/>
        </w:rPr>
        <w:t>.</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sidRPr="00874D51">
        <w:rPr>
          <w:szCs w:val="24"/>
        </w:rPr>
        <w:t xml:space="preserve">There is a large literature on estimating common factors in models such as this.  Much of the modern literature (see surveys in Bai and Ng (2008) and Stock and Watson (2006, 2010)) studies so called “approximate dynamic factor models” in which </w:t>
      </w:r>
      <w:r w:rsidRPr="00874D51">
        <w:rPr>
          <w:i/>
          <w:szCs w:val="24"/>
        </w:rPr>
        <w:t>F</w:t>
      </w:r>
      <w:r w:rsidRPr="00874D51">
        <w:rPr>
          <w:i/>
          <w:szCs w:val="24"/>
          <w:vertAlign w:val="subscript"/>
        </w:rPr>
        <w:t>t</w:t>
      </w:r>
      <w:r w:rsidRPr="00874D51">
        <w:rPr>
          <w:szCs w:val="24"/>
        </w:rPr>
        <w:t xml:space="preserve"> and </w:t>
      </w:r>
      <w:r w:rsidRPr="00874D51">
        <w:rPr>
          <w:i/>
          <w:szCs w:val="24"/>
        </w:rPr>
        <w:t>u</w:t>
      </w:r>
      <w:r w:rsidRPr="00874D51">
        <w:rPr>
          <w:i/>
          <w:szCs w:val="24"/>
          <w:vertAlign w:val="subscript"/>
        </w:rPr>
        <w:t>it</w:t>
      </w:r>
      <w:r w:rsidRPr="00874D51">
        <w:rPr>
          <w:szCs w:val="24"/>
        </w:rPr>
        <w:t xml:space="preserve"> are serially correlated, and data are available on a reasonably large number of indicators (</w:t>
      </w:r>
      <w:r w:rsidRPr="00874D51">
        <w:rPr>
          <w:i/>
          <w:szCs w:val="24"/>
        </w:rPr>
        <w:t xml:space="preserve">i </w:t>
      </w:r>
      <w:r w:rsidRPr="00874D51">
        <w:rPr>
          <w:szCs w:val="24"/>
        </w:rPr>
        <w:t xml:space="preserve">= 1, …, </w:t>
      </w:r>
      <w:r w:rsidRPr="00874D51">
        <w:rPr>
          <w:i/>
          <w:szCs w:val="24"/>
        </w:rPr>
        <w:t>n</w:t>
      </w:r>
      <w:r w:rsidRPr="00874D51">
        <w:rPr>
          <w:szCs w:val="24"/>
        </w:rPr>
        <w:t xml:space="preserve"> where </w:t>
      </w:r>
      <w:r w:rsidRPr="00874D51">
        <w:rPr>
          <w:i/>
          <w:szCs w:val="24"/>
        </w:rPr>
        <w:t xml:space="preserve">n </w:t>
      </w:r>
      <w:r w:rsidRPr="00874D51">
        <w:rPr>
          <w:szCs w:val="24"/>
        </w:rPr>
        <w:t>is large) over a reasonably large sample period (</w:t>
      </w:r>
      <w:r w:rsidRPr="00874D51">
        <w:rPr>
          <w:i/>
          <w:szCs w:val="24"/>
        </w:rPr>
        <w:t xml:space="preserve">t </w:t>
      </w:r>
      <w:r w:rsidRPr="00874D51">
        <w:rPr>
          <w:szCs w:val="24"/>
        </w:rPr>
        <w:t xml:space="preserve">= 1, …, </w:t>
      </w:r>
      <w:r w:rsidRPr="00874D51">
        <w:rPr>
          <w:i/>
          <w:szCs w:val="24"/>
        </w:rPr>
        <w:t>T</w:t>
      </w:r>
      <w:r w:rsidRPr="00874D51">
        <w:rPr>
          <w:szCs w:val="24"/>
        </w:rPr>
        <w:t xml:space="preserve"> where </w:t>
      </w:r>
      <w:r w:rsidRPr="00874D51">
        <w:rPr>
          <w:i/>
          <w:szCs w:val="24"/>
        </w:rPr>
        <w:t xml:space="preserve">T </w:t>
      </w:r>
      <w:r w:rsidRPr="00874D51">
        <w:rPr>
          <w:szCs w:val="24"/>
        </w:rPr>
        <w:t xml:space="preserve">is large).  A key result in this literature is that least squares estimators of </w:t>
      </w:r>
      <w:r w:rsidRPr="00874D51">
        <w:rPr>
          <w:i/>
          <w:szCs w:val="24"/>
        </w:rPr>
        <w:t xml:space="preserve">F </w:t>
      </w:r>
      <w:r w:rsidRPr="00874D51">
        <w:rPr>
          <w:szCs w:val="24"/>
        </w:rPr>
        <w:t xml:space="preserve">(principal components) are sufficiently accurate that they can be used in subsequent regression analysis (including predictive regressions like ours) with no first-order loss in efficiency or modification of standard regression inference procedures.  Moreover, a large empirical literature, has found these estimates useful for structural analysis (e.g., Bernanke, Boivin, Eliasz (2005), Boivin and Giannone (2006)) and forecasting (see the surveys Stock and Watson (2006) and Eickmeier and Zielger (2008) surveys).  Motivated by these results, we will consider least squares estimates of </w:t>
      </w:r>
      <w:r w:rsidRPr="00874D51">
        <w:rPr>
          <w:i/>
          <w:szCs w:val="24"/>
        </w:rPr>
        <w:t>F</w:t>
      </w:r>
      <w:r w:rsidRPr="00874D51">
        <w:rPr>
          <w:szCs w:val="24"/>
        </w:rPr>
        <w:t xml:space="preserve">. </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sidRPr="00874D51">
        <w:rPr>
          <w:szCs w:val="24"/>
        </w:rPr>
        <w:t xml:space="preserve">The details of our calculations are as follows.  Each of the variables listed in Table 4.1 is transformed as indicated in the fourth column in the table (differenced, log-differenced, etc.), and then standardized to have mean zero and unit variance.  Each series was then regressed on current and two lagged values of growth in real GDP and inflation (constructed from the GDP price deflator).  The residuals from these regressions, say </w:t>
      </w:r>
      <w:r w:rsidRPr="00874D51">
        <w:rPr>
          <w:position w:val="-12"/>
          <w:szCs w:val="24"/>
        </w:rPr>
        <w:object w:dxaOrig="260" w:dyaOrig="360">
          <v:shape id="_x0000_i1027" type="#_x0000_t75" style="width:13.1pt;height:18.55pt" o:ole="">
            <v:imagedata r:id="rId13" o:title=""/>
          </v:shape>
          <o:OLEObject Type="Embed" ProgID="Equation.DSMT4" ShapeID="_x0000_i1027" DrawAspect="Content" ObjectID="_1332680856" r:id="rId14"/>
        </w:object>
      </w:r>
      <w:r w:rsidRPr="00874D51">
        <w:rPr>
          <w:szCs w:val="24"/>
        </w:rPr>
        <w:t xml:space="preserve">, are estimates of </w:t>
      </w:r>
      <w:r w:rsidRPr="00874D51">
        <w:rPr>
          <w:i/>
          <w:szCs w:val="24"/>
        </w:rPr>
        <w:t>v</w:t>
      </w:r>
      <w:r w:rsidRPr="00874D51">
        <w:rPr>
          <w:i/>
          <w:szCs w:val="24"/>
          <w:vertAlign w:val="subscript"/>
        </w:rPr>
        <w:t>it</w:t>
      </w:r>
      <w:r w:rsidRPr="00874D51">
        <w:rPr>
          <w:szCs w:val="24"/>
        </w:rPr>
        <w:t xml:space="preserve">. The factors are then estimated by least squares. That is, </w:t>
      </w:r>
      <w:r w:rsidRPr="00874D51">
        <w:rPr>
          <w:position w:val="-12"/>
          <w:szCs w:val="24"/>
        </w:rPr>
        <w:object w:dxaOrig="260" w:dyaOrig="400">
          <v:shape id="_x0000_i1028" type="#_x0000_t75" style="width:13.1pt;height:20.75pt" o:ole="">
            <v:imagedata r:id="rId15" o:title=""/>
          </v:shape>
          <o:OLEObject Type="Embed" ProgID="Equation.DSMT4" ShapeID="_x0000_i1028" DrawAspect="Content" ObjectID="_1332680857" r:id="rId16"/>
        </w:object>
      </w:r>
      <w:r w:rsidRPr="00874D51">
        <w:rPr>
          <w:szCs w:val="24"/>
        </w:rPr>
        <w:t xml:space="preserve"> solves </w:t>
      </w:r>
      <w:r w:rsidRPr="00874D51">
        <w:rPr>
          <w:position w:val="-18"/>
          <w:szCs w:val="24"/>
        </w:rPr>
        <w:object w:dxaOrig="2680" w:dyaOrig="480">
          <v:shape id="_x0000_i1029" type="#_x0000_t75" style="width:134.2pt;height:24pt" o:ole="">
            <v:imagedata r:id="rId17" o:title=""/>
          </v:shape>
          <o:OLEObject Type="Embed" ProgID="Equation.DSMT4" ShapeID="_x0000_i1029" DrawAspect="Content" ObjectID="_1332680858" r:id="rId18"/>
        </w:object>
      </w:r>
      <w:r w:rsidRPr="00874D51">
        <w:rPr>
          <w:szCs w:val="24"/>
        </w:rPr>
        <w:t>.  The unbalanced panel nature of our dataset is accommodated by summing over non-missing observations.</w:t>
      </w:r>
      <w:r w:rsidRPr="00874D51">
        <w:rPr>
          <w:rStyle w:val="FootnoteReference"/>
          <w:szCs w:val="24"/>
        </w:rPr>
        <w:footnoteReference w:id="14"/>
      </w:r>
      <w:r w:rsidRPr="00874D51">
        <w:rPr>
          <w:szCs w:val="24"/>
          <w:vertAlign w:val="superscript"/>
        </w:rPr>
        <w:t>,</w:t>
      </w:r>
      <w:r w:rsidRPr="00874D51">
        <w:rPr>
          <w:rStyle w:val="FootnoteReference"/>
          <w:szCs w:val="24"/>
        </w:rPr>
        <w:footnoteReference w:id="15"/>
      </w:r>
      <w:r w:rsidRPr="00874D51">
        <w:rPr>
          <w:szCs w:val="24"/>
          <w:vertAlign w:val="superscript"/>
        </w:rPr>
        <w:t>,</w:t>
      </w:r>
      <w:r w:rsidRPr="00874D51">
        <w:rPr>
          <w:rStyle w:val="FootnoteReference"/>
          <w:szCs w:val="24"/>
        </w:rPr>
        <w:footnoteReference w:id="16"/>
      </w:r>
      <w:r w:rsidRPr="00874D51">
        <w:rPr>
          <w:szCs w:val="24"/>
        </w:rPr>
        <w:t xml:space="preserve"> </w:t>
      </w:r>
    </w:p>
    <w:p w:rsidR="009210F9" w:rsidRPr="00874D51" w:rsidRDefault="009210F9" w:rsidP="009210F9">
      <w:pPr>
        <w:pStyle w:val="ColorfulList-Accent11"/>
        <w:ind w:left="0"/>
        <w:rPr>
          <w:szCs w:val="24"/>
        </w:rPr>
      </w:pPr>
    </w:p>
    <w:p w:rsidR="009210F9" w:rsidRDefault="009210F9" w:rsidP="009210F9">
      <w:pPr>
        <w:pStyle w:val="ColorfulList-Accent11"/>
        <w:ind w:left="0"/>
        <w:rPr>
          <w:szCs w:val="24"/>
        </w:rPr>
      </w:pPr>
      <w:r>
        <w:rPr>
          <w:szCs w:val="24"/>
        </w:rPr>
        <w:t>S</w:t>
      </w:r>
      <w:r w:rsidRPr="00874D51">
        <w:rPr>
          <w:szCs w:val="24"/>
        </w:rPr>
        <w:t xml:space="preserve">olving the least squares requires that </w:t>
      </w:r>
      <w:r w:rsidRPr="00874D51">
        <w:rPr>
          <w:i/>
          <w:szCs w:val="24"/>
        </w:rPr>
        <w:t>k</w:t>
      </w:r>
      <w:r w:rsidRPr="00874D51">
        <w:rPr>
          <w:szCs w:val="24"/>
        </w:rPr>
        <w:t xml:space="preserve">, the number elements in </w:t>
      </w:r>
      <w:r w:rsidRPr="00874D51">
        <w:rPr>
          <w:i/>
          <w:szCs w:val="24"/>
        </w:rPr>
        <w:t>F</w:t>
      </w:r>
      <w:r w:rsidRPr="00874D51">
        <w:rPr>
          <w:szCs w:val="24"/>
        </w:rPr>
        <w:t xml:space="preserve">, be specified.  In the balanced panel model, Bai and Ng (2002) propose estimators of </w:t>
      </w:r>
      <w:r w:rsidRPr="00874D51">
        <w:rPr>
          <w:i/>
          <w:szCs w:val="24"/>
        </w:rPr>
        <w:t xml:space="preserve">k </w:t>
      </w:r>
      <w:r w:rsidRPr="00874D51">
        <w:rPr>
          <w:szCs w:val="24"/>
        </w:rPr>
        <w:t xml:space="preserve">based on the minimized sum of squared residuals (equivalently the maximized average </w:t>
      </w:r>
      <w:r w:rsidRPr="00874D51">
        <w:rPr>
          <w:i/>
          <w:szCs w:val="24"/>
        </w:rPr>
        <w:t>R</w:t>
      </w:r>
      <w:r w:rsidRPr="00874D51">
        <w:rPr>
          <w:szCs w:val="24"/>
          <w:vertAlign w:val="superscript"/>
        </w:rPr>
        <w:t>2</w:t>
      </w:r>
      <w:r w:rsidRPr="00874D51">
        <w:rPr>
          <w:szCs w:val="24"/>
        </w:rPr>
        <w:t xml:space="preserve">) that results from different value of </w:t>
      </w:r>
      <w:r w:rsidRPr="00874D51">
        <w:rPr>
          <w:i/>
          <w:szCs w:val="24"/>
        </w:rPr>
        <w:t>k</w:t>
      </w:r>
      <w:r w:rsidRPr="00874D51">
        <w:rPr>
          <w:szCs w:val="24"/>
        </w:rPr>
        <w:t xml:space="preserve">.  The columns labeled </w:t>
      </w:r>
      <w:r w:rsidRPr="00874D51">
        <w:rPr>
          <w:i/>
          <w:szCs w:val="24"/>
        </w:rPr>
        <w:t>R</w:t>
      </w:r>
      <w:r w:rsidRPr="00874D51">
        <w:rPr>
          <w:szCs w:val="24"/>
          <w:vertAlign w:val="superscript"/>
        </w:rPr>
        <w:t>2</w:t>
      </w:r>
      <w:r w:rsidRPr="00874D51">
        <w:rPr>
          <w:szCs w:val="24"/>
        </w:rPr>
        <w:t xml:space="preserve"> in Table 4.1 shows how the </w:t>
      </w:r>
      <w:r w:rsidRPr="00874D51">
        <w:rPr>
          <w:i/>
          <w:szCs w:val="24"/>
        </w:rPr>
        <w:t>R</w:t>
      </w:r>
      <w:r w:rsidRPr="00874D51">
        <w:rPr>
          <w:szCs w:val="24"/>
          <w:vertAlign w:val="superscript"/>
        </w:rPr>
        <w:t>2</w:t>
      </w:r>
      <w:r w:rsidRPr="00874D51">
        <w:rPr>
          <w:szCs w:val="24"/>
        </w:rPr>
        <w:t xml:space="preserve"> for each indicator varies as </w:t>
      </w:r>
      <w:r w:rsidRPr="00874D51">
        <w:rPr>
          <w:i/>
          <w:szCs w:val="24"/>
        </w:rPr>
        <w:t xml:space="preserve">k </w:t>
      </w:r>
      <w:r w:rsidRPr="00874D51">
        <w:rPr>
          <w:szCs w:val="24"/>
        </w:rPr>
        <w:t xml:space="preserve">increases from </w:t>
      </w:r>
      <w:r w:rsidRPr="00874D51">
        <w:rPr>
          <w:i/>
          <w:szCs w:val="24"/>
        </w:rPr>
        <w:t xml:space="preserve">k </w:t>
      </w:r>
      <w:r w:rsidRPr="00874D51">
        <w:rPr>
          <w:szCs w:val="24"/>
        </w:rPr>
        <w:t xml:space="preserve">= 0 factors (so that only </w:t>
      </w:r>
      <w:r w:rsidRPr="00874D51">
        <w:rPr>
          <w:i/>
          <w:szCs w:val="24"/>
        </w:rPr>
        <w:t xml:space="preserve">Y </w:t>
      </w:r>
      <w:r w:rsidRPr="00874D51">
        <w:rPr>
          <w:szCs w:val="24"/>
        </w:rPr>
        <w:t xml:space="preserve">is included in the regression) to </w:t>
      </w:r>
      <w:r w:rsidRPr="00874D51">
        <w:rPr>
          <w:i/>
          <w:szCs w:val="24"/>
        </w:rPr>
        <w:t xml:space="preserve">k </w:t>
      </w:r>
      <w:r w:rsidRPr="00874D51">
        <w:rPr>
          <w:szCs w:val="24"/>
        </w:rPr>
        <w:t xml:space="preserve">= 4 factors.  As </w:t>
      </w:r>
      <w:r w:rsidRPr="00874D51">
        <w:rPr>
          <w:i/>
          <w:szCs w:val="24"/>
        </w:rPr>
        <w:t xml:space="preserve">k </w:t>
      </w:r>
      <w:r w:rsidRPr="00874D51">
        <w:rPr>
          <w:szCs w:val="24"/>
        </w:rPr>
        <w:t xml:space="preserve">increases from 0 to 4, the average </w:t>
      </w:r>
      <w:r w:rsidRPr="00874D51">
        <w:rPr>
          <w:i/>
          <w:szCs w:val="24"/>
        </w:rPr>
        <w:t>R</w:t>
      </w:r>
      <w:r w:rsidRPr="00874D51">
        <w:rPr>
          <w:szCs w:val="24"/>
          <w:vertAlign w:val="superscript"/>
        </w:rPr>
        <w:t>2</w:t>
      </w:r>
      <w:r w:rsidRPr="00874D51">
        <w:rPr>
          <w:szCs w:val="24"/>
        </w:rPr>
        <w:t xml:space="preserve"> (shown in the last row of Table 4.1) increases steadily from 0.</w:t>
      </w:r>
      <w:r w:rsidR="00316075">
        <w:rPr>
          <w:szCs w:val="24"/>
        </w:rPr>
        <w:t>29</w:t>
      </w:r>
      <w:r w:rsidRPr="00874D51">
        <w:rPr>
          <w:szCs w:val="24"/>
        </w:rPr>
        <w:t xml:space="preserve"> to 0.6</w:t>
      </w:r>
      <w:r w:rsidR="00316075">
        <w:rPr>
          <w:szCs w:val="24"/>
        </w:rPr>
        <w:t>5</w:t>
      </w:r>
      <w:r w:rsidRPr="00874D51">
        <w:rPr>
          <w:szCs w:val="24"/>
        </w:rPr>
        <w:t xml:space="preserve">, suggesting considerable uncertainty in the appropriate value of </w:t>
      </w:r>
      <w:r w:rsidRPr="00874D51">
        <w:rPr>
          <w:i/>
          <w:szCs w:val="24"/>
        </w:rPr>
        <w:t>k</w:t>
      </w:r>
      <w:r w:rsidRPr="00874D51">
        <w:rPr>
          <w:szCs w:val="24"/>
        </w:rPr>
        <w:t>. Our examination of the fits for the individual series suggested that substantial differences between the fit of the 1-factor and 2-factor models for several series, but less substantial differences between the 2-factor and 3- or 4-factor fits.  Because of this uncertainty, we will consider 1, 2, and 3 factor models in our empirical work.</w:t>
      </w:r>
    </w:p>
    <w:p w:rsidR="00A717AB" w:rsidRDefault="00A717AB" w:rsidP="009210F9">
      <w:pPr>
        <w:pStyle w:val="ColorfulList-Accent11"/>
        <w:ind w:left="0"/>
        <w:rPr>
          <w:szCs w:val="24"/>
        </w:rPr>
      </w:pPr>
    </w:p>
    <w:p w:rsidR="00A717AB" w:rsidRDefault="00A717AB" w:rsidP="009210F9">
      <w:pPr>
        <w:pStyle w:val="ColorfulList-Accent11"/>
        <w:ind w:left="0"/>
        <w:rPr>
          <w:szCs w:val="24"/>
        </w:rPr>
      </w:pPr>
      <w:r>
        <w:rPr>
          <w:szCs w:val="24"/>
        </w:rPr>
        <w:t xml:space="preserve">The final column of Table 4.1 shows the estimated values of of the  </w:t>
      </w:r>
      <w:r w:rsidRPr="00874D51">
        <w:rPr>
          <w:i/>
          <w:szCs w:val="24"/>
        </w:rPr>
        <w:sym w:font="Symbol" w:char="F06C"/>
      </w:r>
      <w:r w:rsidRPr="00874D51">
        <w:rPr>
          <w:i/>
          <w:szCs w:val="24"/>
          <w:vertAlign w:val="subscript"/>
        </w:rPr>
        <w:t>i</w:t>
      </w:r>
      <w:r>
        <w:rPr>
          <w:szCs w:val="24"/>
        </w:rPr>
        <w:t>s for the one-factor model.   In this case,</w:t>
      </w:r>
      <w:r w:rsidRPr="00A717AB">
        <w:rPr>
          <w:position w:val="-12"/>
          <w:szCs w:val="24"/>
        </w:rPr>
        <w:t xml:space="preserve"> </w:t>
      </w:r>
      <w:r w:rsidRPr="00874D51">
        <w:rPr>
          <w:position w:val="-12"/>
          <w:szCs w:val="24"/>
        </w:rPr>
        <w:object w:dxaOrig="260" w:dyaOrig="400">
          <v:shape id="_x0000_i1030" type="#_x0000_t75" style="width:13.1pt;height:20.75pt" o:ole="">
            <v:imagedata r:id="rId15" o:title=""/>
          </v:shape>
          <o:OLEObject Type="Embed" ProgID="Equation.DSMT4" ShapeID="_x0000_i1030" DrawAspect="Content" ObjectID="_1332680859" r:id="rId19"/>
        </w:object>
      </w:r>
      <w:r>
        <w:rPr>
          <w:position w:val="-12"/>
          <w:szCs w:val="24"/>
        </w:rPr>
        <w:t xml:space="preserve"> </w:t>
      </w:r>
      <w:r>
        <w:rPr>
          <w:szCs w:val="24"/>
        </w:rPr>
        <w:t xml:space="preserve"> is the financial conditions index, and the weight that each financial </w:t>
      </w:r>
      <w:r w:rsidR="00764A36">
        <w:rPr>
          <w:szCs w:val="24"/>
        </w:rPr>
        <w:t>indicator</w:t>
      </w:r>
      <w:r>
        <w:rPr>
          <w:szCs w:val="24"/>
        </w:rPr>
        <w:t xml:space="preserve"> i has in the index is proportional to its lambda coefficient.   </w:t>
      </w:r>
      <w:r w:rsidR="00764A36">
        <w:rPr>
          <w:szCs w:val="24"/>
        </w:rPr>
        <w:t xml:space="preserve">Figures 4.2 and 4.3 show rankings of the indicators by their </w:t>
      </w:r>
      <w:r w:rsidR="00104888">
        <w:rPr>
          <w:szCs w:val="24"/>
        </w:rPr>
        <w:t>lambda</w:t>
      </w:r>
      <w:r w:rsidR="00764A36">
        <w:rPr>
          <w:szCs w:val="24"/>
        </w:rPr>
        <w:t xml:space="preserve"> values.  In Figure 4.2 the ranking is by the a</w:t>
      </w:r>
      <w:r w:rsidR="00072189">
        <w:rPr>
          <w:szCs w:val="24"/>
        </w:rPr>
        <w:t>bsolute</w:t>
      </w:r>
      <w:r w:rsidR="00764A36">
        <w:rPr>
          <w:szCs w:val="24"/>
        </w:rPr>
        <w:t xml:space="preserve"> values of the lambdas, and in Figure</w:t>
      </w:r>
      <w:r w:rsidR="00114293">
        <w:rPr>
          <w:szCs w:val="24"/>
        </w:rPr>
        <w:t xml:space="preserve"> 4.3</w:t>
      </w:r>
      <w:r w:rsidR="00764A36">
        <w:rPr>
          <w:szCs w:val="24"/>
        </w:rPr>
        <w:t xml:space="preserve"> it is by the a</w:t>
      </w:r>
      <w:r w:rsidR="00072189">
        <w:rPr>
          <w:szCs w:val="24"/>
        </w:rPr>
        <w:t>ctual</w:t>
      </w:r>
      <w:r w:rsidR="00764A36">
        <w:rPr>
          <w:szCs w:val="24"/>
        </w:rPr>
        <w:t xml:space="preserve"> value</w:t>
      </w:r>
      <w:r w:rsidR="00072189">
        <w:rPr>
          <w:szCs w:val="24"/>
        </w:rPr>
        <w:t>s</w:t>
      </w:r>
      <w:r w:rsidR="00764A36">
        <w:rPr>
          <w:szCs w:val="24"/>
        </w:rPr>
        <w:t xml:space="preserve">.  In </w:t>
      </w:r>
      <w:r w:rsidR="00072189">
        <w:rPr>
          <w:szCs w:val="24"/>
        </w:rPr>
        <w:t xml:space="preserve">about half the cases, </w:t>
      </w:r>
      <w:r w:rsidR="00764A36">
        <w:rPr>
          <w:szCs w:val="24"/>
        </w:rPr>
        <w:t>lam</w:t>
      </w:r>
      <w:r w:rsidR="00AF17D0">
        <w:rPr>
          <w:szCs w:val="24"/>
        </w:rPr>
        <w:t>b</w:t>
      </w:r>
      <w:r w:rsidR="00764A36">
        <w:rPr>
          <w:szCs w:val="24"/>
        </w:rPr>
        <w:t>da is negative</w:t>
      </w:r>
      <w:r w:rsidR="00072189">
        <w:rPr>
          <w:szCs w:val="24"/>
        </w:rPr>
        <w:t>, indicating a worsening of financial conditions when the indicator increases.  This was generally the case for interest rates and spreads, for example.  Positive lambdas (where an increase indicates an improvement in financial conditions) generally prevailed among credit flows and asset prices</w:t>
      </w:r>
      <w:r w:rsidR="00114293">
        <w:rPr>
          <w:szCs w:val="24"/>
        </w:rPr>
        <w:t xml:space="preserve">.  </w:t>
      </w:r>
      <w:r w:rsidR="00072189">
        <w:rPr>
          <w:szCs w:val="24"/>
        </w:rPr>
        <w:t xml:space="preserve"> </w:t>
      </w:r>
    </w:p>
    <w:p w:rsidR="00A717AB" w:rsidRPr="00874D51" w:rsidRDefault="00A717AB" w:rsidP="009210F9">
      <w:pPr>
        <w:pStyle w:val="ColorfulList-Accent11"/>
        <w:ind w:left="0"/>
        <w:rPr>
          <w:szCs w:val="24"/>
        </w:rPr>
      </w:pPr>
    </w:p>
    <w:p w:rsidR="009210F9" w:rsidRPr="00874D51" w:rsidDel="003B468B" w:rsidRDefault="009210F9" w:rsidP="009210F9">
      <w:pPr>
        <w:pStyle w:val="ColorfulList-Accent11"/>
        <w:ind w:left="0"/>
        <w:rPr>
          <w:szCs w:val="24"/>
        </w:rPr>
      </w:pPr>
    </w:p>
    <w:p w:rsidR="009210F9" w:rsidRDefault="009210F9" w:rsidP="009210F9">
      <w:pPr>
        <w:pStyle w:val="ColorfulList-Accent11"/>
        <w:ind w:left="0"/>
        <w:rPr>
          <w:b/>
          <w:szCs w:val="24"/>
        </w:rPr>
      </w:pPr>
    </w:p>
    <w:p w:rsidR="009210F9" w:rsidRDefault="009210F9" w:rsidP="009210F9">
      <w:pPr>
        <w:pStyle w:val="ColorfulList-Accent11"/>
        <w:ind w:left="0"/>
        <w:rPr>
          <w:b/>
          <w:szCs w:val="24"/>
        </w:rPr>
      </w:pPr>
    </w:p>
    <w:p w:rsidR="009210F9" w:rsidRPr="00874D51" w:rsidRDefault="009210F9" w:rsidP="009210F9">
      <w:pPr>
        <w:pStyle w:val="ColorfulList-Accent11"/>
        <w:ind w:left="0"/>
        <w:rPr>
          <w:b/>
          <w:szCs w:val="24"/>
        </w:rPr>
      </w:pPr>
      <w:r w:rsidRPr="00874D51">
        <w:rPr>
          <w:b/>
          <w:szCs w:val="24"/>
        </w:rPr>
        <w:t>5. EVALUATION OF THE NEW FINANCIAL CONDITIONS INDEX</w:t>
      </w:r>
    </w:p>
    <w:p w:rsidR="009210F9" w:rsidRPr="00874D51" w:rsidRDefault="009210F9" w:rsidP="009210F9">
      <w:pPr>
        <w:pStyle w:val="ColorfulList-Accent11"/>
        <w:ind w:left="0"/>
        <w:rPr>
          <w:szCs w:val="24"/>
        </w:rPr>
      </w:pPr>
    </w:p>
    <w:p w:rsidR="009210F9" w:rsidRPr="00874D51" w:rsidRDefault="009210F9" w:rsidP="009210F9">
      <w:pPr>
        <w:pStyle w:val="ColorfulList-Accent11"/>
        <w:ind w:left="0"/>
        <w:rPr>
          <w:szCs w:val="24"/>
        </w:rPr>
      </w:pPr>
      <w:r w:rsidRPr="00874D51">
        <w:rPr>
          <w:szCs w:val="24"/>
        </w:rPr>
        <w:t>In this section, we evaluate our new FCI by first seeing how well it predicts the growth of economic activity relative to the AR model</w:t>
      </w:r>
      <w:r>
        <w:rPr>
          <w:szCs w:val="24"/>
        </w:rPr>
        <w:t>,</w:t>
      </w:r>
      <w:r w:rsidRPr="00874D51">
        <w:rPr>
          <w:szCs w:val="24"/>
        </w:rPr>
        <w:t xml:space="preserve"> </w:t>
      </w:r>
      <w:r>
        <w:rPr>
          <w:szCs w:val="24"/>
        </w:rPr>
        <w:t>the five</w:t>
      </w:r>
      <w:r w:rsidRPr="00874D51">
        <w:rPr>
          <w:szCs w:val="24"/>
        </w:rPr>
        <w:t xml:space="preserve"> single-variable indicators and </w:t>
      </w:r>
      <w:r>
        <w:rPr>
          <w:szCs w:val="24"/>
        </w:rPr>
        <w:t xml:space="preserve">the </w:t>
      </w:r>
      <w:r w:rsidRPr="00874D51">
        <w:rPr>
          <w:szCs w:val="24"/>
        </w:rPr>
        <w:t xml:space="preserve">existing financial conditions indexes.  We also </w:t>
      </w:r>
      <w:r>
        <w:rPr>
          <w:szCs w:val="24"/>
        </w:rPr>
        <w:t>assess</w:t>
      </w:r>
      <w:r w:rsidRPr="00874D51">
        <w:rPr>
          <w:szCs w:val="24"/>
        </w:rPr>
        <w:t xml:space="preserve"> the extent to which the wider coverage of our index and </w:t>
      </w:r>
      <w:r>
        <w:rPr>
          <w:szCs w:val="24"/>
        </w:rPr>
        <w:t xml:space="preserve">the </w:t>
      </w:r>
      <w:r w:rsidRPr="00874D51">
        <w:rPr>
          <w:szCs w:val="24"/>
        </w:rPr>
        <w:t xml:space="preserve">econometric enhancements </w:t>
      </w:r>
      <w:r>
        <w:rPr>
          <w:szCs w:val="24"/>
        </w:rPr>
        <w:t>used</w:t>
      </w:r>
      <w:r w:rsidRPr="00874D51">
        <w:rPr>
          <w:szCs w:val="24"/>
        </w:rPr>
        <w:t xml:space="preserve"> in constructing the new index improved </w:t>
      </w:r>
      <w:r>
        <w:rPr>
          <w:szCs w:val="24"/>
        </w:rPr>
        <w:t xml:space="preserve">its </w:t>
      </w:r>
      <w:r w:rsidRPr="00874D51">
        <w:rPr>
          <w:szCs w:val="24"/>
        </w:rPr>
        <w:t xml:space="preserve">predictive performance.  </w:t>
      </w:r>
      <w:r>
        <w:rPr>
          <w:szCs w:val="24"/>
        </w:rPr>
        <w:t>The breadth of the new index allows us to</w:t>
      </w:r>
      <w:r w:rsidRPr="00874D51">
        <w:rPr>
          <w:szCs w:val="24"/>
        </w:rPr>
        <w:t xml:space="preserve"> consider whether some types of financial variables do better than others by assessing the relative predictive performance of various subsets of the </w:t>
      </w:r>
      <w:r>
        <w:rPr>
          <w:szCs w:val="24"/>
        </w:rPr>
        <w:t xml:space="preserve">included </w:t>
      </w:r>
      <w:r w:rsidRPr="00874D51">
        <w:rPr>
          <w:szCs w:val="24"/>
        </w:rPr>
        <w:t>variables.  Next, we consider factors that may have contributed to the pervasive finding of forecasting instability among FCIs, including our new one.  Finally, we review what the index portends for the period ahead</w:t>
      </w:r>
      <w:r>
        <w:rPr>
          <w:szCs w:val="24"/>
        </w:rPr>
        <w:t xml:space="preserve"> in 2010</w:t>
      </w:r>
      <w:r w:rsidRPr="00874D51">
        <w:rPr>
          <w:szCs w:val="24"/>
        </w:rPr>
        <w:t xml:space="preserve">.  </w:t>
      </w:r>
    </w:p>
    <w:p w:rsidR="009210F9" w:rsidRPr="00874D51" w:rsidRDefault="009210F9" w:rsidP="009210F9">
      <w:pPr>
        <w:pStyle w:val="ColorfulList-Accent11"/>
        <w:ind w:left="0"/>
        <w:rPr>
          <w:szCs w:val="24"/>
        </w:rPr>
      </w:pPr>
    </w:p>
    <w:p w:rsidR="009210F9" w:rsidRPr="00874D51" w:rsidRDefault="009210F9" w:rsidP="009210F9">
      <w:pPr>
        <w:rPr>
          <w:rFonts w:ascii="Times New Roman" w:hAnsi="Times New Roman"/>
        </w:rPr>
      </w:pPr>
      <w:r>
        <w:rPr>
          <w:rFonts w:ascii="Times New Roman" w:hAnsi="Times New Roman"/>
          <w:b/>
        </w:rPr>
        <w:t>5.1</w:t>
      </w:r>
      <w:r w:rsidRPr="00874D51">
        <w:rPr>
          <w:rFonts w:ascii="Times New Roman" w:hAnsi="Times New Roman"/>
          <w:b/>
        </w:rPr>
        <w:t xml:space="preserve"> Prediction Tests </w:t>
      </w:r>
      <w:r>
        <w:rPr>
          <w:rFonts w:ascii="Times New Roman" w:hAnsi="Times New Roman"/>
          <w:b/>
        </w:rPr>
        <w:t>w</w:t>
      </w:r>
      <w:r w:rsidRPr="00874D51">
        <w:rPr>
          <w:rFonts w:ascii="Times New Roman" w:hAnsi="Times New Roman"/>
          <w:b/>
        </w:rPr>
        <w:t>ith New FCI</w:t>
      </w:r>
      <w:r w:rsidRPr="00874D51">
        <w:rPr>
          <w:rFonts w:ascii="Times New Roman" w:hAnsi="Times New Roman"/>
        </w:rPr>
        <w:t xml:space="preserve"> </w:t>
      </w:r>
    </w:p>
    <w:p w:rsidR="009210F9" w:rsidRPr="00874D51" w:rsidRDefault="009210F9" w:rsidP="009210F9">
      <w:pPr>
        <w:rPr>
          <w:rFonts w:ascii="Times New Roman" w:hAnsi="Times New Roman"/>
        </w:rPr>
      </w:pPr>
    </w:p>
    <w:p w:rsidR="009210F9" w:rsidRDefault="009210F9" w:rsidP="009210F9">
      <w:pPr>
        <w:spacing w:line="276" w:lineRule="auto"/>
        <w:rPr>
          <w:rFonts w:ascii="Times New Roman" w:hAnsi="Times New Roman"/>
        </w:rPr>
      </w:pPr>
      <w:r w:rsidRPr="00874D51">
        <w:rPr>
          <w:rFonts w:ascii="Times New Roman" w:hAnsi="Times New Roman"/>
        </w:rPr>
        <w:t xml:space="preserve">The </w:t>
      </w:r>
      <w:r>
        <w:rPr>
          <w:rFonts w:ascii="Times New Roman" w:hAnsi="Times New Roman"/>
        </w:rPr>
        <w:t>one-factor</w:t>
      </w:r>
      <w:r w:rsidRPr="00874D51">
        <w:rPr>
          <w:rFonts w:ascii="Times New Roman" w:hAnsi="Times New Roman"/>
        </w:rPr>
        <w:t xml:space="preserve"> variant of our FCI is shown in Figure 5.1.  </w:t>
      </w:r>
      <w:r>
        <w:rPr>
          <w:rFonts w:ascii="Times New Roman" w:hAnsi="Times New Roman"/>
        </w:rPr>
        <w:t>The series is standardized to have mean zero and unit standard deviation over the sample period, so that it is measured in standard deviation units.  With one notable exception, the new FCI</w:t>
      </w:r>
      <w:r w:rsidRPr="00874D51">
        <w:rPr>
          <w:rFonts w:ascii="Times New Roman" w:hAnsi="Times New Roman"/>
        </w:rPr>
        <w:t xml:space="preserve"> follows a pattern that is broadly similar since the early 1990s to those we reviewed in Figure 2.2: both showed a substantial deterioration in financial conditions </w:t>
      </w:r>
      <w:r>
        <w:rPr>
          <w:rFonts w:ascii="Times New Roman" w:hAnsi="Times New Roman"/>
        </w:rPr>
        <w:t>near the start of the millennium</w:t>
      </w:r>
      <w:r w:rsidRPr="00874D51">
        <w:rPr>
          <w:rFonts w:ascii="Times New Roman" w:hAnsi="Times New Roman"/>
        </w:rPr>
        <w:t xml:space="preserve"> and more recently, with the recent move being </w:t>
      </w:r>
      <w:r>
        <w:rPr>
          <w:rFonts w:ascii="Times New Roman" w:hAnsi="Times New Roman"/>
        </w:rPr>
        <w:t xml:space="preserve">somewhat </w:t>
      </w:r>
      <w:r w:rsidRPr="00874D51">
        <w:rPr>
          <w:rFonts w:ascii="Times New Roman" w:hAnsi="Times New Roman"/>
        </w:rPr>
        <w:t xml:space="preserve">more severe.  </w:t>
      </w:r>
      <w:r>
        <w:rPr>
          <w:rFonts w:ascii="Times New Roman" w:hAnsi="Times New Roman"/>
        </w:rPr>
        <w:t>Both also show a substantial rebound over the past year from crisis lows.  The one notable exception is that most recently (in the second half of 2009, our index shows a substantial deterioration whereas the alternative FCIs did not.  We will discuss the reasons for this deterioration, an interesting result, at the end of this section.</w:t>
      </w:r>
      <w:r>
        <w:rPr>
          <w:rStyle w:val="FootnoteReference"/>
          <w:rFonts w:ascii="Times New Roman" w:hAnsi="Times New Roman"/>
        </w:rPr>
        <w:footnoteReference w:id="17"/>
      </w:r>
      <w:r>
        <w:rPr>
          <w:rFonts w:ascii="Times New Roman" w:hAnsi="Times New Roman"/>
        </w:rPr>
        <w:t xml:space="preserve">  </w:t>
      </w:r>
      <w:r w:rsidRPr="00874D51">
        <w:rPr>
          <w:rFonts w:ascii="Times New Roman" w:hAnsi="Times New Roman"/>
        </w:rPr>
        <w:t>Going back further, our index showed substantial deteriorations in the mid</w:t>
      </w:r>
      <w:r>
        <w:rPr>
          <w:rFonts w:ascii="Times New Roman" w:hAnsi="Times New Roman"/>
        </w:rPr>
        <w:t>-</w:t>
      </w:r>
      <w:r w:rsidRPr="00874D51">
        <w:rPr>
          <w:rFonts w:ascii="Times New Roman" w:hAnsi="Times New Roman"/>
        </w:rPr>
        <w:t xml:space="preserve">1970s and early 1980s, both periods of severe recession, and an impressive spike down in 1987 coinciding with the stock market crash in October of that year. </w:t>
      </w:r>
      <w:r>
        <w:rPr>
          <w:rFonts w:ascii="Times New Roman" w:hAnsi="Times New Roman"/>
        </w:rPr>
        <w:t xml:space="preserve">  </w:t>
      </w:r>
      <w:r w:rsidRPr="00874D51">
        <w:rPr>
          <w:rFonts w:ascii="Times New Roman" w:hAnsi="Times New Roman"/>
        </w:rPr>
        <w:t xml:space="preserve"> </w:t>
      </w:r>
    </w:p>
    <w:p w:rsidR="009210F9"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rPr>
      </w:pPr>
      <w:r w:rsidRPr="00874D51">
        <w:rPr>
          <w:rFonts w:ascii="Times New Roman" w:hAnsi="Times New Roman"/>
        </w:rPr>
        <w:t xml:space="preserve">How well does the new index predict economic activity?  Table 5.1 summarizes the pseudo-out-of-sample forecasting results based on regression models with </w:t>
      </w:r>
      <w:r>
        <w:rPr>
          <w:rFonts w:ascii="Times New Roman" w:hAnsi="Times New Roman"/>
        </w:rPr>
        <w:t>one, two and three factors</w:t>
      </w:r>
      <w:r w:rsidRPr="00874D51">
        <w:rPr>
          <w:rFonts w:ascii="Times New Roman" w:hAnsi="Times New Roman"/>
        </w:rPr>
        <w:t xml:space="preserve">.  The results are shown in the same format as we discussed for Tables 3.2 and 3.3 (the data entries are the average relative RMSEs using those for the AR models in Table 3.2 as the benchmark).  For purposes of comparison, the table also shows the average prediction errors of the AR model, representative single variable and existing FCI models (the S&amp;P 500 and the KCFSI) from Table 3.2, as well as the averages across the single variables and all the existing FCIs we surveyed. </w:t>
      </w:r>
    </w:p>
    <w:p w:rsidR="009210F9"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rPr>
      </w:pPr>
      <w:r w:rsidRPr="00874D51">
        <w:rPr>
          <w:rFonts w:ascii="Times New Roman" w:hAnsi="Times New Roman"/>
        </w:rPr>
        <w:t>The key results can be summarized as follows:</w:t>
      </w:r>
      <w:r>
        <w:rPr>
          <w:rFonts w:ascii="Times New Roman" w:hAnsi="Times New Roman"/>
        </w:rPr>
        <w:br/>
      </w:r>
    </w:p>
    <w:p w:rsidR="009210F9" w:rsidRPr="00874D51" w:rsidRDefault="009210F9" w:rsidP="009210F9">
      <w:pPr>
        <w:numPr>
          <w:ilvl w:val="0"/>
          <w:numId w:val="6"/>
        </w:numPr>
        <w:spacing w:line="276" w:lineRule="auto"/>
        <w:rPr>
          <w:rFonts w:ascii="Times New Roman" w:hAnsi="Times New Roman"/>
        </w:rPr>
      </w:pPr>
      <w:r w:rsidRPr="00874D51">
        <w:rPr>
          <w:rFonts w:ascii="Times New Roman" w:hAnsi="Times New Roman"/>
        </w:rPr>
        <w:t xml:space="preserve">The </w:t>
      </w:r>
      <w:r>
        <w:rPr>
          <w:rFonts w:ascii="Times New Roman" w:hAnsi="Times New Roman"/>
        </w:rPr>
        <w:t>one-factor</w:t>
      </w:r>
      <w:r w:rsidRPr="00874D51">
        <w:rPr>
          <w:rFonts w:ascii="Times New Roman" w:hAnsi="Times New Roman"/>
        </w:rPr>
        <w:t xml:space="preserve"> variant generally </w:t>
      </w:r>
      <w:r>
        <w:rPr>
          <w:rFonts w:ascii="Times New Roman" w:hAnsi="Times New Roman"/>
        </w:rPr>
        <w:t>performed</w:t>
      </w:r>
      <w:r w:rsidRPr="00874D51">
        <w:rPr>
          <w:rFonts w:ascii="Times New Roman" w:hAnsi="Times New Roman"/>
        </w:rPr>
        <w:t xml:space="preserve"> at least as well as the </w:t>
      </w:r>
      <w:r>
        <w:rPr>
          <w:rFonts w:ascii="Times New Roman" w:hAnsi="Times New Roman"/>
        </w:rPr>
        <w:t>two- and three-factor versions</w:t>
      </w:r>
      <w:r w:rsidRPr="00874D51">
        <w:rPr>
          <w:rFonts w:ascii="Times New Roman" w:hAnsi="Times New Roman"/>
        </w:rPr>
        <w:t>.  Evidently, while more than a single factor is needed to capture the co-movement in the 4</w:t>
      </w:r>
      <w:r w:rsidR="00316075">
        <w:rPr>
          <w:rFonts w:ascii="Times New Roman" w:hAnsi="Times New Roman"/>
        </w:rPr>
        <w:t>5</w:t>
      </w:r>
      <w:r w:rsidRPr="00874D51">
        <w:rPr>
          <w:rFonts w:ascii="Times New Roman" w:hAnsi="Times New Roman"/>
        </w:rPr>
        <w:t xml:space="preserve"> financial variables, only the dominant factor helps forecast future real activity.  In what follows, we focus on the </w:t>
      </w:r>
      <w:r>
        <w:rPr>
          <w:rFonts w:ascii="Times New Roman" w:hAnsi="Times New Roman"/>
        </w:rPr>
        <w:t>one-factor version</w:t>
      </w:r>
      <w:r w:rsidRPr="00874D51">
        <w:rPr>
          <w:rFonts w:ascii="Times New Roman" w:hAnsi="Times New Roman"/>
        </w:rPr>
        <w:t>.</w:t>
      </w:r>
    </w:p>
    <w:p w:rsidR="009210F9" w:rsidRPr="00874D51" w:rsidRDefault="009210F9" w:rsidP="009210F9">
      <w:pPr>
        <w:numPr>
          <w:ilvl w:val="0"/>
          <w:numId w:val="6"/>
        </w:numPr>
        <w:spacing w:line="276" w:lineRule="auto"/>
        <w:rPr>
          <w:rFonts w:ascii="Times New Roman" w:hAnsi="Times New Roman"/>
        </w:rPr>
      </w:pPr>
      <w:r w:rsidRPr="00874D51">
        <w:rPr>
          <w:rFonts w:ascii="Times New Roman" w:hAnsi="Times New Roman"/>
        </w:rPr>
        <w:t xml:space="preserve">The </w:t>
      </w:r>
      <w:r>
        <w:rPr>
          <w:rFonts w:ascii="Times New Roman" w:hAnsi="Times New Roman"/>
        </w:rPr>
        <w:t>one</w:t>
      </w:r>
      <w:r w:rsidRPr="00874D51">
        <w:rPr>
          <w:rFonts w:ascii="Times New Roman" w:hAnsi="Times New Roman"/>
        </w:rPr>
        <w:t>-</w:t>
      </w:r>
      <w:r>
        <w:rPr>
          <w:rFonts w:ascii="Times New Roman" w:hAnsi="Times New Roman"/>
        </w:rPr>
        <w:t>f</w:t>
      </w:r>
      <w:r w:rsidRPr="00874D51">
        <w:rPr>
          <w:rFonts w:ascii="Times New Roman" w:hAnsi="Times New Roman"/>
        </w:rPr>
        <w:t>actor FCI generally tracked future GDP growth better than the AR model—this was especially so during the recent downturn as evident in Table 5.1 and Figure 5.</w:t>
      </w:r>
      <w:r>
        <w:rPr>
          <w:rFonts w:ascii="Times New Roman" w:hAnsi="Times New Roman"/>
        </w:rPr>
        <w:t>2</w:t>
      </w:r>
      <w:r w:rsidRPr="00874D51">
        <w:rPr>
          <w:rFonts w:ascii="Times New Roman" w:hAnsi="Times New Roman"/>
        </w:rPr>
        <w:t xml:space="preserve"> (which compares the new FCI and AR predictions of GDP growth).  However, the FCI substantially </w:t>
      </w:r>
      <w:r>
        <w:rPr>
          <w:rFonts w:ascii="Times New Roman" w:hAnsi="Times New Roman"/>
        </w:rPr>
        <w:t>underperformed</w:t>
      </w:r>
      <w:r w:rsidRPr="00874D51">
        <w:rPr>
          <w:rFonts w:ascii="Times New Roman" w:hAnsi="Times New Roman"/>
        </w:rPr>
        <w:t xml:space="preserve"> the AR model during the lat</w:t>
      </w:r>
      <w:r>
        <w:rPr>
          <w:rFonts w:ascii="Times New Roman" w:hAnsi="Times New Roman"/>
        </w:rPr>
        <w:t>e</w:t>
      </w:r>
      <w:r w:rsidRPr="00874D51">
        <w:rPr>
          <w:rFonts w:ascii="Times New Roman" w:hAnsi="Times New Roman"/>
        </w:rPr>
        <w:t xml:space="preserve"> 1990s, a period when financial conditions appeared to be worsening</w:t>
      </w:r>
      <w:r>
        <w:rPr>
          <w:rFonts w:ascii="Times New Roman" w:hAnsi="Times New Roman"/>
        </w:rPr>
        <w:t xml:space="preserve"> but economic</w:t>
      </w:r>
      <w:r w:rsidRPr="00874D51">
        <w:rPr>
          <w:rFonts w:ascii="Times New Roman" w:hAnsi="Times New Roman"/>
        </w:rPr>
        <w:t xml:space="preserve"> growth was </w:t>
      </w:r>
      <w:r>
        <w:rPr>
          <w:rFonts w:ascii="Times New Roman" w:hAnsi="Times New Roman"/>
        </w:rPr>
        <w:t>robust</w:t>
      </w:r>
      <w:r w:rsidRPr="00874D51">
        <w:rPr>
          <w:rFonts w:ascii="Times New Roman" w:hAnsi="Times New Roman"/>
        </w:rPr>
        <w:t xml:space="preserve">. </w:t>
      </w:r>
    </w:p>
    <w:p w:rsidR="009210F9" w:rsidRPr="00874D51" w:rsidRDefault="009210F9" w:rsidP="009210F9">
      <w:pPr>
        <w:numPr>
          <w:ilvl w:val="0"/>
          <w:numId w:val="6"/>
        </w:numPr>
        <w:spacing w:line="276" w:lineRule="auto"/>
        <w:rPr>
          <w:rFonts w:ascii="Times New Roman" w:hAnsi="Times New Roman"/>
        </w:rPr>
      </w:pPr>
      <w:r>
        <w:rPr>
          <w:rFonts w:ascii="Times New Roman" w:hAnsi="Times New Roman"/>
        </w:rPr>
        <w:t>The</w:t>
      </w:r>
      <w:r w:rsidRPr="00874D51">
        <w:rPr>
          <w:rFonts w:ascii="Times New Roman" w:hAnsi="Times New Roman"/>
        </w:rPr>
        <w:t xml:space="preserve"> new FCI did better than the average single financial indicator in most subperiods</w:t>
      </w:r>
      <w:r>
        <w:rPr>
          <w:rFonts w:ascii="Times New Roman" w:hAnsi="Times New Roman"/>
        </w:rPr>
        <w:t>,</w:t>
      </w:r>
      <w:r w:rsidRPr="00874D51">
        <w:rPr>
          <w:rFonts w:ascii="Times New Roman" w:hAnsi="Times New Roman"/>
        </w:rPr>
        <w:t xml:space="preserve"> including </w:t>
      </w:r>
      <w:r>
        <w:rPr>
          <w:rFonts w:ascii="Times New Roman" w:hAnsi="Times New Roman"/>
        </w:rPr>
        <w:t xml:space="preserve">both the period of the early 1990s and </w:t>
      </w:r>
      <w:r w:rsidRPr="00874D51">
        <w:rPr>
          <w:rFonts w:ascii="Times New Roman" w:hAnsi="Times New Roman"/>
        </w:rPr>
        <w:t xml:space="preserve">the past decade.  It also outperformed the best of the single-factor indicators, the stock market index, over the past five years, </w:t>
      </w:r>
      <w:r>
        <w:rPr>
          <w:rFonts w:ascii="Times New Roman" w:hAnsi="Times New Roman"/>
        </w:rPr>
        <w:t>but underperformed</w:t>
      </w:r>
      <w:r w:rsidRPr="00874D51">
        <w:rPr>
          <w:rFonts w:ascii="Times New Roman" w:hAnsi="Times New Roman"/>
        </w:rPr>
        <w:t xml:space="preserve"> significantly in a couple of the earlier subperiods.  Th</w:t>
      </w:r>
      <w:r>
        <w:rPr>
          <w:rFonts w:ascii="Times New Roman" w:hAnsi="Times New Roman"/>
        </w:rPr>
        <w:t>ese patterns are</w:t>
      </w:r>
      <w:r w:rsidRPr="00874D51">
        <w:rPr>
          <w:rFonts w:ascii="Times New Roman" w:hAnsi="Times New Roman"/>
        </w:rPr>
        <w:t xml:space="preserve"> evident both in Table 5.1, which compares prediction errors averaged across activity variables and in Figure</w:t>
      </w:r>
      <w:r>
        <w:rPr>
          <w:rFonts w:ascii="Times New Roman" w:hAnsi="Times New Roman"/>
        </w:rPr>
        <w:t>s</w:t>
      </w:r>
      <w:r w:rsidRPr="00874D51">
        <w:rPr>
          <w:rFonts w:ascii="Times New Roman" w:hAnsi="Times New Roman"/>
        </w:rPr>
        <w:t xml:space="preserve"> 5.3</w:t>
      </w:r>
      <w:r>
        <w:rPr>
          <w:rFonts w:ascii="Times New Roman" w:hAnsi="Times New Roman"/>
        </w:rPr>
        <w:t>a and 5.3b</w:t>
      </w:r>
      <w:r w:rsidRPr="00874D51">
        <w:rPr>
          <w:rFonts w:ascii="Times New Roman" w:hAnsi="Times New Roman"/>
        </w:rPr>
        <w:t>, which show the predict</w:t>
      </w:r>
      <w:r>
        <w:rPr>
          <w:rFonts w:ascii="Times New Roman" w:hAnsi="Times New Roman"/>
        </w:rPr>
        <w:t xml:space="preserve">ed and actual rates of </w:t>
      </w:r>
      <w:r w:rsidRPr="00874D51">
        <w:rPr>
          <w:rFonts w:ascii="Times New Roman" w:hAnsi="Times New Roman"/>
        </w:rPr>
        <w:t>r</w:t>
      </w:r>
      <w:r>
        <w:rPr>
          <w:rFonts w:ascii="Times New Roman" w:hAnsi="Times New Roman"/>
        </w:rPr>
        <w:t>eal</w:t>
      </w:r>
      <w:r w:rsidRPr="00874D51">
        <w:rPr>
          <w:rFonts w:ascii="Times New Roman" w:hAnsi="Times New Roman"/>
        </w:rPr>
        <w:t xml:space="preserve"> GDP growth</w:t>
      </w:r>
      <w:r>
        <w:rPr>
          <w:rFonts w:ascii="Times New Roman" w:hAnsi="Times New Roman"/>
        </w:rPr>
        <w:t xml:space="preserve"> using the new FCI, the S&amp;P500 and the existing FCIs</w:t>
      </w:r>
      <w:r w:rsidRPr="00874D51">
        <w:rPr>
          <w:rFonts w:ascii="Times New Roman" w:hAnsi="Times New Roman"/>
        </w:rPr>
        <w:t xml:space="preserve">. </w:t>
      </w:r>
    </w:p>
    <w:p w:rsidR="009210F9" w:rsidRPr="00874D51" w:rsidRDefault="009210F9" w:rsidP="009210F9">
      <w:pPr>
        <w:numPr>
          <w:ilvl w:val="0"/>
          <w:numId w:val="6"/>
        </w:numPr>
        <w:spacing w:line="276" w:lineRule="auto"/>
        <w:rPr>
          <w:rFonts w:ascii="Times New Roman" w:hAnsi="Times New Roman"/>
        </w:rPr>
      </w:pPr>
      <w:r w:rsidRPr="00874D51">
        <w:rPr>
          <w:rFonts w:ascii="Times New Roman" w:hAnsi="Times New Roman"/>
        </w:rPr>
        <w:t xml:space="preserve">Our FCI did somewhat better than other FCIs over three of the four subperiods </w:t>
      </w:r>
      <w:r>
        <w:rPr>
          <w:rFonts w:ascii="Times New Roman" w:hAnsi="Times New Roman"/>
        </w:rPr>
        <w:t>for which</w:t>
      </w:r>
      <w:r w:rsidRPr="00874D51">
        <w:rPr>
          <w:rFonts w:ascii="Times New Roman" w:hAnsi="Times New Roman"/>
        </w:rPr>
        <w:t xml:space="preserve"> we have results for both sets, but worse during one (the second half of the 1990s).  </w:t>
      </w:r>
    </w:p>
    <w:p w:rsidR="009210F9" w:rsidRPr="00874D51" w:rsidRDefault="009210F9" w:rsidP="009210F9">
      <w:pPr>
        <w:numPr>
          <w:ilvl w:val="0"/>
          <w:numId w:val="6"/>
        </w:numPr>
        <w:spacing w:line="276" w:lineRule="auto"/>
        <w:rPr>
          <w:rFonts w:ascii="Times New Roman" w:hAnsi="Times New Roman"/>
        </w:rPr>
      </w:pPr>
      <w:r w:rsidRPr="00874D51">
        <w:rPr>
          <w:rFonts w:ascii="Times New Roman" w:hAnsi="Times New Roman"/>
        </w:rPr>
        <w:t xml:space="preserve">Like the other FCIs, our new FCI performed noticeably better </w:t>
      </w:r>
      <w:r>
        <w:rPr>
          <w:rFonts w:ascii="Times New Roman" w:hAnsi="Times New Roman"/>
        </w:rPr>
        <w:t>after</w:t>
      </w:r>
      <w:r w:rsidRPr="00874D51">
        <w:rPr>
          <w:rFonts w:ascii="Times New Roman" w:hAnsi="Times New Roman"/>
        </w:rPr>
        <w:t xml:space="preserve"> 2000, especially over the most recent five-year period, than it did earlier.   </w:t>
      </w:r>
    </w:p>
    <w:p w:rsidR="009210F9" w:rsidRPr="00874D51" w:rsidRDefault="009210F9" w:rsidP="009210F9">
      <w:pPr>
        <w:spacing w:line="276" w:lineRule="auto"/>
        <w:rPr>
          <w:rFonts w:ascii="Times New Roman" w:hAnsi="Times New Roman"/>
        </w:rPr>
      </w:pPr>
    </w:p>
    <w:p w:rsidR="009210F9" w:rsidRPr="00874D51" w:rsidRDefault="009210F9" w:rsidP="009210F9">
      <w:pPr>
        <w:spacing w:line="276" w:lineRule="auto"/>
        <w:rPr>
          <w:rFonts w:ascii="Times New Roman" w:hAnsi="Times New Roman"/>
        </w:rPr>
      </w:pPr>
      <w:r>
        <w:rPr>
          <w:rFonts w:ascii="Times New Roman" w:hAnsi="Times New Roman"/>
        </w:rPr>
        <w:t>While constructive, t</w:t>
      </w:r>
      <w:r w:rsidRPr="00874D51">
        <w:rPr>
          <w:rFonts w:ascii="Times New Roman" w:hAnsi="Times New Roman"/>
        </w:rPr>
        <w:t>hese findings cause us to raise several notes of caution.  First, the variability of the results over time, with noticeable degradation of relative performance in the late 1980s and latter 1990s</w:t>
      </w:r>
      <w:r>
        <w:rPr>
          <w:rFonts w:ascii="Times New Roman" w:hAnsi="Times New Roman"/>
        </w:rPr>
        <w:t>,</w:t>
      </w:r>
      <w:r w:rsidRPr="00874D51">
        <w:rPr>
          <w:rFonts w:ascii="Times New Roman" w:hAnsi="Times New Roman"/>
        </w:rPr>
        <w:t xml:space="preserve"> is once again indicative of instability in the relationship between financial conditions and real economic activity.  Second, the relatively poor performance of our FCI during the </w:t>
      </w:r>
      <w:r>
        <w:rPr>
          <w:rFonts w:ascii="Times New Roman" w:hAnsi="Times New Roman"/>
        </w:rPr>
        <w:t>second</w:t>
      </w:r>
      <w:r w:rsidRPr="00874D51">
        <w:rPr>
          <w:rFonts w:ascii="Times New Roman" w:hAnsi="Times New Roman"/>
        </w:rPr>
        <w:t xml:space="preserve"> half of the 1990s in particular suggests </w:t>
      </w:r>
      <w:r>
        <w:rPr>
          <w:rFonts w:ascii="Times New Roman" w:hAnsi="Times New Roman"/>
        </w:rPr>
        <w:t xml:space="preserve">that </w:t>
      </w:r>
      <w:r w:rsidRPr="00874D51">
        <w:rPr>
          <w:rFonts w:ascii="Times New Roman" w:hAnsi="Times New Roman"/>
        </w:rPr>
        <w:t xml:space="preserve">that period merits closer inspection.  Third, the better performance during the most recent five years (relative to both the average of the alternative FCIs and KC Fed’s index as representative of one of the better performing FCIs) </w:t>
      </w:r>
      <w:r>
        <w:rPr>
          <w:rFonts w:ascii="Times New Roman" w:hAnsi="Times New Roman"/>
        </w:rPr>
        <w:t>may</w:t>
      </w:r>
      <w:r w:rsidRPr="00874D51">
        <w:rPr>
          <w:rFonts w:ascii="Times New Roman" w:hAnsi="Times New Roman"/>
        </w:rPr>
        <w:t xml:space="preserve"> reflect selection bias in our choice of variables to include in the index</w:t>
      </w:r>
      <w:r>
        <w:rPr>
          <w:rFonts w:ascii="Times New Roman" w:hAnsi="Times New Roman"/>
        </w:rPr>
        <w:t xml:space="preserve">: naturally, our selection </w:t>
      </w:r>
      <w:r w:rsidRPr="00874D51">
        <w:rPr>
          <w:rFonts w:ascii="Times New Roman" w:hAnsi="Times New Roman"/>
        </w:rPr>
        <w:t xml:space="preserve">was governed in part by </w:t>
      </w:r>
      <w:r>
        <w:rPr>
          <w:rFonts w:ascii="Times New Roman" w:hAnsi="Times New Roman"/>
        </w:rPr>
        <w:t>an</w:t>
      </w:r>
      <w:r w:rsidRPr="00874D51">
        <w:rPr>
          <w:rFonts w:ascii="Times New Roman" w:hAnsi="Times New Roman"/>
        </w:rPr>
        <w:t xml:space="preserve"> </w:t>
      </w:r>
      <w:r>
        <w:rPr>
          <w:rFonts w:ascii="Times New Roman" w:hAnsi="Times New Roman"/>
        </w:rPr>
        <w:t>understanding</w:t>
      </w:r>
      <w:r w:rsidRPr="00874D51">
        <w:rPr>
          <w:rFonts w:ascii="Times New Roman" w:hAnsi="Times New Roman"/>
        </w:rPr>
        <w:t xml:space="preserve"> of the types of financial variables that were used for monitoring and measuring the recent financial crisis.</w:t>
      </w:r>
      <w:r>
        <w:rPr>
          <w:rFonts w:ascii="Times New Roman" w:hAnsi="Times New Roman"/>
        </w:rPr>
        <w:t xml:space="preserve"> In this sense, we did not seek to mitigate observer bias.</w:t>
      </w:r>
    </w:p>
    <w:p w:rsidR="009210F9" w:rsidRPr="00874D51" w:rsidRDefault="009210F9" w:rsidP="009210F9">
      <w:pPr>
        <w:spacing w:line="276" w:lineRule="auto"/>
        <w:rPr>
          <w:rFonts w:ascii="Times New Roman" w:hAnsi="Times New Roman"/>
          <w:b/>
        </w:rPr>
      </w:pPr>
    </w:p>
    <w:p w:rsidR="009210F9" w:rsidRDefault="009210F9" w:rsidP="009210F9">
      <w:pPr>
        <w:spacing w:line="276" w:lineRule="auto"/>
        <w:rPr>
          <w:rFonts w:ascii="Times New Roman" w:hAnsi="Times New Roman"/>
          <w:b/>
        </w:rPr>
      </w:pPr>
      <w:r w:rsidRPr="00874D51">
        <w:rPr>
          <w:rFonts w:ascii="Times New Roman" w:hAnsi="Times New Roman"/>
          <w:b/>
        </w:rPr>
        <w:t>5.2 Testing the new FCI’s enhancements of the existing technology</w:t>
      </w:r>
    </w:p>
    <w:p w:rsidR="009210F9" w:rsidRPr="00874D51" w:rsidRDefault="009210F9" w:rsidP="009210F9">
      <w:pPr>
        <w:spacing w:line="276" w:lineRule="auto"/>
        <w:rPr>
          <w:rFonts w:ascii="Times New Roman" w:hAnsi="Times New Roman"/>
          <w:b/>
        </w:rPr>
      </w:pPr>
    </w:p>
    <w:p w:rsidR="009210F9" w:rsidRPr="00874D51" w:rsidRDefault="009210F9" w:rsidP="009210F9">
      <w:pPr>
        <w:spacing w:line="276" w:lineRule="auto"/>
        <w:rPr>
          <w:rFonts w:ascii="Times New Roman" w:hAnsi="Times New Roman"/>
        </w:rPr>
      </w:pPr>
      <w:r w:rsidRPr="00874D51">
        <w:rPr>
          <w:rFonts w:ascii="Times New Roman" w:hAnsi="Times New Roman"/>
        </w:rPr>
        <w:t xml:space="preserve">The key features of our FCI that distinguish it from extant FCIs are (1) its broader coverage of existing and more recent financial variables, including </w:t>
      </w:r>
      <w:r>
        <w:rPr>
          <w:rFonts w:ascii="Times New Roman" w:hAnsi="Times New Roman"/>
        </w:rPr>
        <w:t>indicators other than rates, spreads and asset</w:t>
      </w:r>
      <w:r w:rsidRPr="00874D51">
        <w:rPr>
          <w:rFonts w:ascii="Times New Roman" w:hAnsi="Times New Roman"/>
        </w:rPr>
        <w:t xml:space="preserve"> prices, (2) the use of unbalanced panel estimation techniques to substantially lengthen the history of the FCI, and (3) the purging of financial variables of macroeconomic influences (represented by A(L)</w:t>
      </w:r>
      <w:r w:rsidRPr="00874D51">
        <w:rPr>
          <w:rFonts w:ascii="Times New Roman" w:hAnsi="Times New Roman"/>
          <w:i/>
        </w:rPr>
        <w:t>Y</w:t>
      </w:r>
      <w:r w:rsidRPr="00874D51">
        <w:rPr>
          <w:rFonts w:ascii="Times New Roman" w:hAnsi="Times New Roman"/>
          <w:i/>
          <w:vertAlign w:val="subscript"/>
        </w:rPr>
        <w:t>t</w:t>
      </w:r>
      <w:r w:rsidRPr="00874D51">
        <w:rPr>
          <w:rFonts w:ascii="Times New Roman" w:hAnsi="Times New Roman"/>
        </w:rPr>
        <w:t xml:space="preserve"> in equation 2, Section 4.2 above) .   </w:t>
      </w:r>
    </w:p>
    <w:p w:rsidR="009210F9" w:rsidRPr="00874D51" w:rsidRDefault="009210F9" w:rsidP="009210F9">
      <w:pPr>
        <w:spacing w:line="276" w:lineRule="auto"/>
        <w:rPr>
          <w:rFonts w:ascii="Times New Roman" w:hAnsi="Times New Roman"/>
        </w:rPr>
      </w:pPr>
    </w:p>
    <w:p w:rsidR="009210F9" w:rsidRPr="00874D51" w:rsidRDefault="009210F9" w:rsidP="009210F9">
      <w:pPr>
        <w:spacing w:line="276" w:lineRule="auto"/>
        <w:rPr>
          <w:rFonts w:ascii="Times New Roman" w:hAnsi="Times New Roman"/>
        </w:rPr>
      </w:pPr>
      <w:r w:rsidRPr="00874D51">
        <w:rPr>
          <w:rFonts w:ascii="Times New Roman" w:hAnsi="Times New Roman"/>
        </w:rPr>
        <w:t>To gauge the effects of these enhancements, we ran prediction tests with several different v</w:t>
      </w:r>
      <w:r>
        <w:rPr>
          <w:rFonts w:ascii="Times New Roman" w:hAnsi="Times New Roman"/>
        </w:rPr>
        <w:t>ersions</w:t>
      </w:r>
      <w:r w:rsidRPr="00874D51">
        <w:rPr>
          <w:rFonts w:ascii="Times New Roman" w:hAnsi="Times New Roman"/>
        </w:rPr>
        <w:t xml:space="preserve"> of the new FCI, including a</w:t>
      </w:r>
      <w:r>
        <w:rPr>
          <w:rFonts w:ascii="Times New Roman" w:hAnsi="Times New Roman"/>
        </w:rPr>
        <w:t xml:space="preserve"> (nearly)</w:t>
      </w:r>
      <w:r w:rsidRPr="00874D51">
        <w:rPr>
          <w:rFonts w:ascii="Times New Roman" w:hAnsi="Times New Roman"/>
        </w:rPr>
        <w:t xml:space="preserve"> balanced panel variant, a decomposition of the index by type of financial variable, and a v</w:t>
      </w:r>
      <w:r>
        <w:rPr>
          <w:rFonts w:ascii="Times New Roman" w:hAnsi="Times New Roman"/>
        </w:rPr>
        <w:t>ersion</w:t>
      </w:r>
      <w:r w:rsidRPr="00874D51">
        <w:rPr>
          <w:rFonts w:ascii="Times New Roman" w:hAnsi="Times New Roman"/>
        </w:rPr>
        <w:t xml:space="preserve"> that was not purged of macroeconomic influences.  The results of these tests are presented in Table 5.2. </w:t>
      </w:r>
    </w:p>
    <w:p w:rsidR="009210F9" w:rsidRPr="00874D51" w:rsidRDefault="009210F9" w:rsidP="009210F9">
      <w:pPr>
        <w:spacing w:line="276" w:lineRule="auto"/>
        <w:rPr>
          <w:rFonts w:ascii="Times New Roman" w:hAnsi="Times New Roman"/>
        </w:rPr>
      </w:pPr>
    </w:p>
    <w:p w:rsidR="009210F9" w:rsidRPr="00874D51" w:rsidRDefault="009210F9" w:rsidP="009210F9">
      <w:pPr>
        <w:spacing w:line="276" w:lineRule="auto"/>
        <w:rPr>
          <w:rFonts w:ascii="Times New Roman" w:hAnsi="Times New Roman"/>
        </w:rPr>
      </w:pPr>
      <w:r w:rsidRPr="00874D51">
        <w:rPr>
          <w:rFonts w:ascii="Times New Roman" w:hAnsi="Times New Roman"/>
          <w:b/>
        </w:rPr>
        <w:t>Balanced panel.</w:t>
      </w:r>
      <w:r w:rsidRPr="00874D51">
        <w:rPr>
          <w:rFonts w:ascii="Times New Roman" w:hAnsi="Times New Roman"/>
        </w:rPr>
        <w:t xml:space="preserve">  We constructed a variant of our new FCI that limited the financial variables included to those with histories going back to at least 1980 (that is, 2</w:t>
      </w:r>
      <w:r w:rsidR="00316075">
        <w:rPr>
          <w:rFonts w:ascii="Times New Roman" w:hAnsi="Times New Roman"/>
        </w:rPr>
        <w:t>9</w:t>
      </w:r>
      <w:r w:rsidRPr="00874D51">
        <w:rPr>
          <w:rFonts w:ascii="Times New Roman" w:hAnsi="Times New Roman"/>
        </w:rPr>
        <w:t xml:space="preserve"> of the 4</w:t>
      </w:r>
      <w:r w:rsidR="00316075">
        <w:rPr>
          <w:rFonts w:ascii="Times New Roman" w:hAnsi="Times New Roman"/>
        </w:rPr>
        <w:t>5</w:t>
      </w:r>
      <w:r w:rsidRPr="00874D51">
        <w:rPr>
          <w:rFonts w:ascii="Times New Roman" w:hAnsi="Times New Roman"/>
        </w:rPr>
        <w:t xml:space="preserve"> variables), so that the panel was “balanced” back to 1980 but not before.  The relative predictive performance of this variant provides some indication of how increasing the number of financial variables in the index, especially in more recent years, may have affected new FCI’s performance. </w:t>
      </w:r>
    </w:p>
    <w:p w:rsidR="009210F9" w:rsidRPr="00874D51" w:rsidRDefault="009210F9" w:rsidP="009210F9">
      <w:pPr>
        <w:spacing w:line="276" w:lineRule="auto"/>
        <w:rPr>
          <w:rFonts w:ascii="Times New Roman" w:hAnsi="Times New Roman"/>
        </w:rPr>
      </w:pPr>
    </w:p>
    <w:p w:rsidR="009210F9" w:rsidRPr="00874D51" w:rsidRDefault="009210F9" w:rsidP="009210F9">
      <w:pPr>
        <w:spacing w:line="276" w:lineRule="auto"/>
        <w:rPr>
          <w:rFonts w:ascii="Times New Roman" w:hAnsi="Times New Roman"/>
        </w:rPr>
      </w:pPr>
      <w:r w:rsidRPr="00874D51">
        <w:rPr>
          <w:rFonts w:ascii="Times New Roman" w:hAnsi="Times New Roman"/>
        </w:rPr>
        <w:t xml:space="preserve">The baseline new FCI </w:t>
      </w:r>
      <w:r>
        <w:rPr>
          <w:rFonts w:ascii="Times New Roman" w:hAnsi="Times New Roman"/>
        </w:rPr>
        <w:t>outperforms</w:t>
      </w:r>
      <w:r w:rsidRPr="00874D51">
        <w:rPr>
          <w:rFonts w:ascii="Times New Roman" w:hAnsi="Times New Roman"/>
        </w:rPr>
        <w:t xml:space="preserve"> the narrower, balanced panel variant over the past two decades on average, including the most recent period, suggesting </w:t>
      </w:r>
      <w:r>
        <w:rPr>
          <w:rFonts w:ascii="Times New Roman" w:hAnsi="Times New Roman"/>
        </w:rPr>
        <w:t>meaningful</w:t>
      </w:r>
      <w:r w:rsidRPr="00874D51">
        <w:rPr>
          <w:rFonts w:ascii="Times New Roman" w:hAnsi="Times New Roman"/>
        </w:rPr>
        <w:t xml:space="preserve"> gains from the wider coverage.  However, during the 1980s, the balanced panel variant </w:t>
      </w:r>
      <w:r>
        <w:rPr>
          <w:rFonts w:ascii="Times New Roman" w:hAnsi="Times New Roman"/>
        </w:rPr>
        <w:t>outperformed signficantly</w:t>
      </w:r>
      <w:r w:rsidRPr="00874D51">
        <w:rPr>
          <w:rFonts w:ascii="Times New Roman" w:hAnsi="Times New Roman"/>
        </w:rPr>
        <w:t xml:space="preserve">. </w:t>
      </w:r>
    </w:p>
    <w:p w:rsidR="009210F9" w:rsidRPr="00874D51" w:rsidRDefault="009210F9" w:rsidP="009210F9">
      <w:pPr>
        <w:spacing w:line="276" w:lineRule="auto"/>
        <w:rPr>
          <w:rFonts w:ascii="Times New Roman" w:hAnsi="Times New Roman"/>
        </w:rPr>
      </w:pPr>
    </w:p>
    <w:p w:rsidR="009210F9" w:rsidRPr="00874D51" w:rsidRDefault="009210F9" w:rsidP="009210F9">
      <w:pPr>
        <w:spacing w:line="276" w:lineRule="auto"/>
        <w:rPr>
          <w:rFonts w:ascii="Times New Roman" w:hAnsi="Times New Roman"/>
        </w:rPr>
      </w:pPr>
      <w:r w:rsidRPr="00874D51">
        <w:rPr>
          <w:rFonts w:ascii="Times New Roman" w:hAnsi="Times New Roman"/>
          <w:b/>
        </w:rPr>
        <w:t xml:space="preserve">Decomposition </w:t>
      </w:r>
      <w:r>
        <w:rPr>
          <w:rFonts w:ascii="Times New Roman" w:hAnsi="Times New Roman"/>
          <w:b/>
        </w:rPr>
        <w:t>tests</w:t>
      </w:r>
      <w:r w:rsidRPr="00874D51">
        <w:rPr>
          <w:rFonts w:ascii="Times New Roman" w:hAnsi="Times New Roman"/>
          <w:b/>
        </w:rPr>
        <w:t xml:space="preserve">.  </w:t>
      </w:r>
      <w:r w:rsidRPr="00874D51">
        <w:rPr>
          <w:rFonts w:ascii="Times New Roman" w:hAnsi="Times New Roman"/>
        </w:rPr>
        <w:t xml:space="preserve">The richness of the coverage of our FCI across a variety of types of financial variables allows us considerable latitude to test whether some types of variables do better than others in predicting movements in economic activity.  Table 4.1 groups the </w:t>
      </w:r>
      <w:r w:rsidR="009C43EB">
        <w:rPr>
          <w:rFonts w:ascii="Times New Roman" w:hAnsi="Times New Roman"/>
        </w:rPr>
        <w:t>45</w:t>
      </w:r>
      <w:r w:rsidR="009C43EB" w:rsidRPr="00874D51">
        <w:rPr>
          <w:rFonts w:ascii="Times New Roman" w:hAnsi="Times New Roman"/>
        </w:rPr>
        <w:t xml:space="preserve"> </w:t>
      </w:r>
      <w:r w:rsidRPr="00874D51">
        <w:rPr>
          <w:rFonts w:ascii="Times New Roman" w:hAnsi="Times New Roman"/>
        </w:rPr>
        <w:t>financial series underlying our FCI into five categories (interest rate levels and spreads (1</w:t>
      </w:r>
      <w:r w:rsidR="00316075">
        <w:rPr>
          <w:rFonts w:ascii="Times New Roman" w:hAnsi="Times New Roman"/>
        </w:rPr>
        <w:t>5</w:t>
      </w:r>
      <w:r w:rsidRPr="00874D51">
        <w:rPr>
          <w:rFonts w:ascii="Times New Roman" w:hAnsi="Times New Roman"/>
        </w:rPr>
        <w:t xml:space="preserve"> series), asset prices (5 series), stock and flow quantities (1</w:t>
      </w:r>
      <w:r w:rsidR="00316075">
        <w:rPr>
          <w:rFonts w:ascii="Times New Roman" w:hAnsi="Times New Roman"/>
        </w:rPr>
        <w:t>6</w:t>
      </w:r>
      <w:r w:rsidRPr="00874D51">
        <w:rPr>
          <w:rFonts w:ascii="Times New Roman" w:hAnsi="Times New Roman"/>
        </w:rPr>
        <w:t xml:space="preserve"> series), surveys (7 series), and 2</w:t>
      </w:r>
      <w:r w:rsidRPr="00874D51">
        <w:rPr>
          <w:rFonts w:ascii="Times New Roman" w:hAnsi="Times New Roman"/>
          <w:vertAlign w:val="superscript"/>
        </w:rPr>
        <w:t>nd</w:t>
      </w:r>
      <w:r w:rsidRPr="00874D51">
        <w:rPr>
          <w:rFonts w:ascii="Times New Roman" w:hAnsi="Times New Roman"/>
        </w:rPr>
        <w:t xml:space="preserve"> moment or risk measures (3 series)).  Figure 5.4 decomposes the FCI into components associated with variables in these categories.</w:t>
      </w:r>
      <w:r w:rsidRPr="00874D51">
        <w:rPr>
          <w:rStyle w:val="FootnoteReference"/>
          <w:rFonts w:ascii="Times New Roman" w:hAnsi="Times New Roman"/>
        </w:rPr>
        <w:footnoteReference w:id="18"/>
      </w:r>
      <w:r w:rsidRPr="00874D51">
        <w:rPr>
          <w:rFonts w:ascii="Times New Roman" w:hAnsi="Times New Roman"/>
        </w:rPr>
        <w:t xml:space="preserve">  A cursory inspection of the panels in this figure indicates that historically, interest rate spreads have been the most important source of movement of our FCI</w:t>
      </w:r>
      <w:r>
        <w:rPr>
          <w:rFonts w:ascii="Times New Roman" w:hAnsi="Times New Roman"/>
        </w:rPr>
        <w:t>. T</w:t>
      </w:r>
      <w:r w:rsidRPr="00874D51">
        <w:rPr>
          <w:rFonts w:ascii="Times New Roman" w:hAnsi="Times New Roman"/>
        </w:rPr>
        <w:t xml:space="preserve">hey explain most of the steady decline in the FCI during the later 1990s and more recently.  In the most recent period of the financial crisis, all five categories contributed to the </w:t>
      </w:r>
      <w:r>
        <w:rPr>
          <w:rFonts w:ascii="Times New Roman" w:hAnsi="Times New Roman"/>
        </w:rPr>
        <w:t>decline in our FCI</w:t>
      </w:r>
      <w:r w:rsidRPr="00874D51">
        <w:rPr>
          <w:rFonts w:ascii="Times New Roman" w:hAnsi="Times New Roman"/>
        </w:rPr>
        <w:t>.</w:t>
      </w:r>
    </w:p>
    <w:p w:rsidR="009210F9"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rPr>
      </w:pPr>
      <w:r w:rsidRPr="00874D51">
        <w:rPr>
          <w:rFonts w:ascii="Times New Roman" w:hAnsi="Times New Roman"/>
        </w:rPr>
        <w:t xml:space="preserve">The results shown in Table 5.2 summarize our forecast tests for a slightly more nuanced decomposition of the individual series, where the interest rate or spread variables have been </w:t>
      </w:r>
      <w:r>
        <w:rPr>
          <w:rFonts w:ascii="Times New Roman" w:hAnsi="Times New Roman"/>
        </w:rPr>
        <w:t>subdivided</w:t>
      </w:r>
      <w:r w:rsidRPr="00874D51">
        <w:rPr>
          <w:rFonts w:ascii="Times New Roman" w:hAnsi="Times New Roman"/>
        </w:rPr>
        <w:t xml:space="preserve"> into liquidity indicators and credit indicators.  The specific indicators in each category are listed in the appendix.  The results indicate that no single component stood out as consistently better</w:t>
      </w:r>
      <w:r>
        <w:rPr>
          <w:rFonts w:ascii="Times New Roman" w:hAnsi="Times New Roman"/>
        </w:rPr>
        <w:t>:</w:t>
      </w:r>
      <w:r w:rsidRPr="00874D51">
        <w:rPr>
          <w:rFonts w:ascii="Times New Roman" w:hAnsi="Times New Roman"/>
        </w:rPr>
        <w:t xml:space="preserve">  Some </w:t>
      </w:r>
      <w:r>
        <w:rPr>
          <w:rFonts w:ascii="Times New Roman" w:hAnsi="Times New Roman"/>
        </w:rPr>
        <w:t>outperformed</w:t>
      </w:r>
      <w:r w:rsidRPr="00874D51">
        <w:rPr>
          <w:rFonts w:ascii="Times New Roman" w:hAnsi="Times New Roman"/>
        </w:rPr>
        <w:t xml:space="preserve"> in some subperiods and others in other subperiods.  The overall FCI often did better than any of its major components.  This was especially true during the most recent period when the overall FCI outperformed each of the separate categories (as well as the star performer among individual financial variables, the stock market index) by wide margins.  This result suggests that there are significant benefits to be gained from pooling a large set of financial indicators.  But the force of this observation may be weakened by the aforementioned selection bias in our construction of the new FCI.   Moreover, in at least one subperiod (the latter 1990s), the overall index did significantly worse than its subcomponents.</w:t>
      </w:r>
    </w:p>
    <w:p w:rsidR="009210F9" w:rsidRPr="00874D51" w:rsidRDefault="009210F9" w:rsidP="009210F9">
      <w:pPr>
        <w:spacing w:line="276" w:lineRule="auto"/>
        <w:ind w:left="360"/>
        <w:rPr>
          <w:rFonts w:ascii="Times New Roman" w:hAnsi="Times New Roman"/>
        </w:rPr>
      </w:pPr>
      <w:r w:rsidRPr="00874D51">
        <w:rPr>
          <w:rFonts w:ascii="Times New Roman" w:hAnsi="Times New Roman"/>
        </w:rPr>
        <w:t xml:space="preserve"> </w:t>
      </w:r>
    </w:p>
    <w:p w:rsidR="009210F9" w:rsidRPr="00874D51" w:rsidRDefault="009210F9" w:rsidP="009210F9">
      <w:pPr>
        <w:spacing w:line="276" w:lineRule="auto"/>
        <w:rPr>
          <w:rFonts w:ascii="Times New Roman" w:hAnsi="Times New Roman"/>
        </w:rPr>
      </w:pPr>
      <w:r w:rsidRPr="00874D51">
        <w:rPr>
          <w:rFonts w:ascii="Times New Roman" w:hAnsi="Times New Roman"/>
          <w:b/>
        </w:rPr>
        <w:t>Purging macro influences</w:t>
      </w:r>
      <w:r w:rsidRPr="00874D51">
        <w:rPr>
          <w:rFonts w:ascii="Times New Roman" w:hAnsi="Times New Roman"/>
        </w:rPr>
        <w:t xml:space="preserve">.  Our third test entailed using the index constructed with all </w:t>
      </w:r>
      <w:r w:rsidR="009C43EB">
        <w:rPr>
          <w:rFonts w:ascii="Times New Roman" w:hAnsi="Times New Roman"/>
        </w:rPr>
        <w:t xml:space="preserve">45 </w:t>
      </w:r>
      <w:r w:rsidRPr="00874D51">
        <w:rPr>
          <w:rFonts w:ascii="Times New Roman" w:hAnsi="Times New Roman"/>
        </w:rPr>
        <w:t>variables, but where the input variables were not purged of the effects of movements in economic activity (GDP growth and inflation--i.e., those effects represented by A(L)</w:t>
      </w:r>
      <w:r w:rsidRPr="00874D51">
        <w:rPr>
          <w:rFonts w:ascii="Times New Roman" w:hAnsi="Times New Roman"/>
          <w:i/>
        </w:rPr>
        <w:t>Y</w:t>
      </w:r>
      <w:r w:rsidRPr="00874D51">
        <w:rPr>
          <w:rFonts w:ascii="Times New Roman" w:hAnsi="Times New Roman"/>
          <w:i/>
          <w:vertAlign w:val="subscript"/>
        </w:rPr>
        <w:t>t</w:t>
      </w:r>
      <w:r>
        <w:rPr>
          <w:rFonts w:ascii="Times New Roman" w:hAnsi="Times New Roman"/>
        </w:rPr>
        <w:t xml:space="preserve"> </w:t>
      </w:r>
      <w:r w:rsidRPr="00874D51">
        <w:rPr>
          <w:rFonts w:ascii="Times New Roman" w:hAnsi="Times New Roman"/>
        </w:rPr>
        <w:t>in equation 2,  as discussed in Section 4.2 above).  The</w:t>
      </w:r>
      <w:r>
        <w:rPr>
          <w:rFonts w:ascii="Times New Roman" w:hAnsi="Times New Roman"/>
        </w:rPr>
        <w:t xml:space="preserve"> second to</w:t>
      </w:r>
      <w:r w:rsidRPr="00874D51">
        <w:rPr>
          <w:rFonts w:ascii="Times New Roman" w:hAnsi="Times New Roman"/>
        </w:rPr>
        <w:t xml:space="preserve"> last </w:t>
      </w:r>
      <w:r>
        <w:rPr>
          <w:rFonts w:ascii="Times New Roman" w:hAnsi="Times New Roman"/>
        </w:rPr>
        <w:t>row</w:t>
      </w:r>
      <w:r w:rsidRPr="00874D51">
        <w:rPr>
          <w:rFonts w:ascii="Times New Roman" w:hAnsi="Times New Roman"/>
        </w:rPr>
        <w:t xml:space="preserve"> in each half of Table </w:t>
      </w:r>
      <w:r>
        <w:rPr>
          <w:rFonts w:ascii="Times New Roman" w:hAnsi="Times New Roman"/>
        </w:rPr>
        <w:t xml:space="preserve">5.2 </w:t>
      </w:r>
      <w:r w:rsidRPr="00874D51">
        <w:rPr>
          <w:rFonts w:ascii="Times New Roman" w:hAnsi="Times New Roman"/>
        </w:rPr>
        <w:t xml:space="preserve">shows prediction results for the unpurged index.  A comparison with the top </w:t>
      </w:r>
      <w:r>
        <w:rPr>
          <w:rFonts w:ascii="Times New Roman" w:hAnsi="Times New Roman"/>
        </w:rPr>
        <w:t>row</w:t>
      </w:r>
      <w:r w:rsidRPr="00874D51">
        <w:rPr>
          <w:rFonts w:ascii="Times New Roman" w:hAnsi="Times New Roman"/>
        </w:rPr>
        <w:t xml:space="preserve"> of each table indicates that purging the underlying variables of macro influences yields noticeably better forecasting results during the early 1990s and over the past ten years, especially the most recent period.  But purging yields worse results (than the unpurged variant) during other periods.</w:t>
      </w:r>
      <w:r w:rsidR="00E61C38">
        <w:rPr>
          <w:rStyle w:val="FootnoteReference"/>
          <w:rFonts w:ascii="Times New Roman" w:hAnsi="Times New Roman"/>
        </w:rPr>
        <w:footnoteReference w:id="19"/>
      </w:r>
      <w:r w:rsidRPr="00874D51">
        <w:rPr>
          <w:rFonts w:ascii="Times New Roman" w:hAnsi="Times New Roman"/>
        </w:rPr>
        <w:t xml:space="preserve"> </w:t>
      </w:r>
    </w:p>
    <w:p w:rsidR="009210F9" w:rsidRPr="00874D51" w:rsidRDefault="009210F9" w:rsidP="009210F9">
      <w:pPr>
        <w:spacing w:line="276" w:lineRule="auto"/>
        <w:rPr>
          <w:rFonts w:ascii="Times New Roman" w:hAnsi="Times New Roman"/>
        </w:rPr>
      </w:pPr>
    </w:p>
    <w:p w:rsidR="009210F9" w:rsidRDefault="009210F9" w:rsidP="009210F9">
      <w:pPr>
        <w:spacing w:line="276" w:lineRule="auto"/>
      </w:pPr>
      <w:r w:rsidRPr="00874D51">
        <w:rPr>
          <w:rFonts w:ascii="Times New Roman" w:hAnsi="Times New Roman"/>
        </w:rPr>
        <w:t xml:space="preserve">Figure 5.5 displays the effects of purging the FCI of macro influences in a bit more detail.  </w:t>
      </w:r>
      <w:r>
        <w:rPr>
          <w:rFonts w:ascii="Times New Roman" w:hAnsi="Times New Roman"/>
        </w:rPr>
        <w:t>During the mid-1970s and early 1980s the unpurged index was significantly more negative than the purged index.  That is, the financial indicators (particularly the interest rates and spreads, which dominate the index in this period) suggested severe disruptions in the financial sector, but much of this could be explained by the prevailing level of real activity and inflation. Looking at the most recent (2009:Q4) values of the indexes, t</w:t>
      </w:r>
      <w:r>
        <w:t xml:space="preserve">he unpurged index is essentially neutral, while the purged index shows a significant drop from 2009:Q2 to 2009:Q4.  The unpurged index shows that, viewed in isolation, financial conditions are near their average values.  In contrast, the purged index suggests that, conditional on the pace of the recovery in the second half of 2009, financial conditions remain a drag on future real activity.  </w:t>
      </w:r>
    </w:p>
    <w:p w:rsidR="009210F9"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rPr>
      </w:pPr>
      <w:r>
        <w:rPr>
          <w:rFonts w:ascii="Times New Roman" w:hAnsi="Times New Roman"/>
          <w:b/>
        </w:rPr>
        <w:t>Purging the funds rate.</w:t>
      </w:r>
      <w:r>
        <w:rPr>
          <w:rFonts w:ascii="Times New Roman" w:hAnsi="Times New Roman"/>
        </w:rPr>
        <w:t xml:space="preserve"> Our fourth test was to include the federal funds rate in the list of macro influences to be purged before constructing our FCI.  The resulting FCI is shown graphically in Figure 5.6, and the forecast performance is shown in the last row of each half of Table 5.2.  The results show that the forecast performance of the alternative FCI is generally not too different from our benchmark FCI; it is modestly worse for most subperiods, but less bad for the 1995-1999 period.</w:t>
      </w:r>
    </w:p>
    <w:p w:rsidR="009210F9"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rPr>
      </w:pPr>
      <w:r>
        <w:rPr>
          <w:rFonts w:ascii="Times New Roman" w:hAnsi="Times New Roman"/>
        </w:rPr>
        <w:t xml:space="preserve">Combined with the </w:t>
      </w:r>
      <w:r w:rsidRPr="0000553F">
        <w:rPr>
          <w:rFonts w:ascii="Times New Roman" w:hAnsi="Times New Roman"/>
        </w:rPr>
        <w:t>poor performance of the fed funds rate in the single-indicator results shown in Tables 3.1 and 3.2</w:t>
      </w:r>
      <w:r>
        <w:rPr>
          <w:rFonts w:ascii="Times New Roman" w:hAnsi="Times New Roman"/>
        </w:rPr>
        <w:t xml:space="preserve">, these results suggest that </w:t>
      </w:r>
      <w:r w:rsidRPr="0000553F">
        <w:rPr>
          <w:rFonts w:ascii="Times New Roman" w:hAnsi="Times New Roman"/>
        </w:rPr>
        <w:t>pure monetary shocks contributed relatively little to the prediction of future economic activity</w:t>
      </w:r>
      <w:r>
        <w:rPr>
          <w:rFonts w:ascii="Times New Roman" w:hAnsi="Times New Roman"/>
        </w:rPr>
        <w:t xml:space="preserve"> during our sample period – a result consistent with structural VAR exercises that show that monetary policy shocks explain little of the variance of output (e.g., Christiano, Eichenbaum, and Evans (1999))</w:t>
      </w:r>
      <w:r w:rsidRPr="0000553F">
        <w:rPr>
          <w:rFonts w:ascii="Times New Roman" w:hAnsi="Times New Roman"/>
        </w:rPr>
        <w:t xml:space="preserve">. </w:t>
      </w:r>
      <w:r>
        <w:rPr>
          <w:rFonts w:ascii="Times New Roman" w:hAnsi="Times New Roman"/>
        </w:rPr>
        <w:t xml:space="preserve"> Consequently</w:t>
      </w:r>
      <w:r w:rsidRPr="0000553F">
        <w:rPr>
          <w:rFonts w:ascii="Times New Roman" w:hAnsi="Times New Roman"/>
        </w:rPr>
        <w:t>, purging the FCI of their influence has only a slight impact on its utility as a forecasting tool.</w:t>
      </w:r>
      <w:r>
        <w:rPr>
          <w:rFonts w:ascii="Times New Roman" w:hAnsi="Times New Roman"/>
        </w:rPr>
        <w:t xml:space="preserve">  In light of the perceived utility of the term structure as an economic predictor, this result may come as somewhat of a surprise.  But it is also consistent with our finding (Section 3, Table 3.2) that the term structure has not been particularly useful as a single-variable financial indicator in predicting economic activity since the mid-1980s.</w:t>
      </w:r>
    </w:p>
    <w:p w:rsidR="009210F9" w:rsidRDefault="009210F9" w:rsidP="009210F9">
      <w:pPr>
        <w:spacing w:line="276" w:lineRule="auto"/>
        <w:rPr>
          <w:rFonts w:ascii="Times New Roman" w:hAnsi="Times New Roman"/>
        </w:rPr>
      </w:pPr>
    </w:p>
    <w:p w:rsidR="009210F9" w:rsidRPr="0000553F" w:rsidRDefault="009210F9" w:rsidP="009210F9">
      <w:pPr>
        <w:spacing w:line="276" w:lineRule="auto"/>
        <w:rPr>
          <w:rFonts w:ascii="Times New Roman" w:hAnsi="Times New Roman"/>
        </w:rPr>
      </w:pPr>
      <w:r>
        <w:rPr>
          <w:rFonts w:ascii="Times New Roman" w:hAnsi="Times New Roman"/>
        </w:rPr>
        <w:t xml:space="preserve">At the same time, there is evidence that monetary policy actions have been substantially more important in specific episodes.  Figure 5.6 shows that some of the </w:t>
      </w:r>
      <w:r w:rsidRPr="001F115E">
        <w:rPr>
          <w:rFonts w:ascii="Times New Roman" w:hAnsi="Times New Roman"/>
        </w:rPr>
        <w:t xml:space="preserve">biggest supportive </w:t>
      </w:r>
      <w:r>
        <w:rPr>
          <w:rFonts w:ascii="Times New Roman" w:hAnsi="Times New Roman"/>
        </w:rPr>
        <w:t>effects</w:t>
      </w:r>
      <w:r w:rsidRPr="001F115E">
        <w:rPr>
          <w:rFonts w:ascii="Times New Roman" w:hAnsi="Times New Roman"/>
        </w:rPr>
        <w:t xml:space="preserve"> from </w:t>
      </w:r>
      <w:r>
        <w:rPr>
          <w:rFonts w:ascii="Times New Roman" w:hAnsi="Times New Roman"/>
        </w:rPr>
        <w:t xml:space="preserve">the funds rate – </w:t>
      </w:r>
      <w:r w:rsidRPr="00A3299F">
        <w:rPr>
          <w:rFonts w:ascii="Times New Roman" w:hAnsi="Times New Roman"/>
          <w:i/>
        </w:rPr>
        <w:t>i.e.</w:t>
      </w:r>
      <w:r>
        <w:rPr>
          <w:rFonts w:ascii="Times New Roman" w:hAnsi="Times New Roman"/>
        </w:rPr>
        <w:t>, the biggest gaps between the purged and unpurged FCI – occurred around the stock market crash of 1987 and during the recent financial crisis.  Moreover, our exclusive focus on the federal funds rate as a gauge of monetary policy probably understates policy’s impact during these episodes.  In the fall of 1987, for example, the FOMC’s statement affirming its “readiness to serve as a source of liquidity” to the financial system may have been more important in cushioning the impact of the crash than the 50-basis-point cut in the federal funds rate target.  Similarly, in late 2008 and early 2009, the sharp cut in the funds rate to near zero percent was only one aspect of the Fed’s response to the crisis.  Other measures – including the various liquidity facilities, the asset purchases, and the “stress test” for major banks – were also very important.  If we were able to include these adequately in our index, we would probably find an even bigger impact from monetary policy during crisis episodes.</w:t>
      </w:r>
    </w:p>
    <w:p w:rsidR="009210F9" w:rsidRDefault="009210F9" w:rsidP="009210F9">
      <w:pPr>
        <w:spacing w:line="276" w:lineRule="auto"/>
        <w:rPr>
          <w:rFonts w:ascii="Times New Roman" w:hAnsi="Times New Roman"/>
          <w:b/>
        </w:rPr>
      </w:pPr>
    </w:p>
    <w:p w:rsidR="009210F9" w:rsidRDefault="009210F9" w:rsidP="009210F9">
      <w:pPr>
        <w:spacing w:line="276" w:lineRule="auto"/>
        <w:rPr>
          <w:rFonts w:ascii="Times New Roman" w:hAnsi="Times New Roman"/>
          <w:b/>
        </w:rPr>
      </w:pPr>
      <w:r w:rsidRPr="00874D51">
        <w:rPr>
          <w:rFonts w:ascii="Times New Roman" w:hAnsi="Times New Roman"/>
          <w:b/>
        </w:rPr>
        <w:t>5.3 Possible source</w:t>
      </w:r>
      <w:r>
        <w:rPr>
          <w:rFonts w:ascii="Times New Roman" w:hAnsi="Times New Roman"/>
          <w:b/>
        </w:rPr>
        <w:t>s</w:t>
      </w:r>
      <w:r w:rsidRPr="00874D51">
        <w:rPr>
          <w:rFonts w:ascii="Times New Roman" w:hAnsi="Times New Roman"/>
          <w:b/>
        </w:rPr>
        <w:t xml:space="preserve"> of instability </w:t>
      </w:r>
    </w:p>
    <w:p w:rsidR="009210F9"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rPr>
      </w:pPr>
      <w:r w:rsidRPr="00874D51">
        <w:rPr>
          <w:rFonts w:ascii="Times New Roman" w:hAnsi="Times New Roman"/>
        </w:rPr>
        <w:t xml:space="preserve">Our tests indicate that </w:t>
      </w:r>
      <w:r>
        <w:rPr>
          <w:rFonts w:ascii="Times New Roman" w:hAnsi="Times New Roman"/>
        </w:rPr>
        <w:t>our</w:t>
      </w:r>
      <w:r w:rsidRPr="00874D51">
        <w:rPr>
          <w:rFonts w:ascii="Times New Roman" w:hAnsi="Times New Roman"/>
        </w:rPr>
        <w:t xml:space="preserve"> new FCI </w:t>
      </w:r>
      <w:r>
        <w:rPr>
          <w:rFonts w:ascii="Times New Roman" w:hAnsi="Times New Roman"/>
        </w:rPr>
        <w:t>is</w:t>
      </w:r>
      <w:r w:rsidRPr="00874D51">
        <w:rPr>
          <w:rFonts w:ascii="Times New Roman" w:hAnsi="Times New Roman"/>
        </w:rPr>
        <w:t xml:space="preserve"> a more reliable predictor of activity during recent periods, especially the crisis </w:t>
      </w:r>
      <w:r>
        <w:rPr>
          <w:rFonts w:ascii="Times New Roman" w:hAnsi="Times New Roman"/>
        </w:rPr>
        <w:t>episode</w:t>
      </w:r>
      <w:r w:rsidRPr="00874D51">
        <w:rPr>
          <w:rFonts w:ascii="Times New Roman" w:hAnsi="Times New Roman"/>
        </w:rPr>
        <w:t xml:space="preserve">, </w:t>
      </w:r>
      <w:r>
        <w:rPr>
          <w:rFonts w:ascii="Times New Roman" w:hAnsi="Times New Roman"/>
        </w:rPr>
        <w:t xml:space="preserve">but was </w:t>
      </w:r>
      <w:r w:rsidRPr="00874D51">
        <w:rPr>
          <w:rFonts w:ascii="Times New Roman" w:hAnsi="Times New Roman"/>
        </w:rPr>
        <w:t>less so earlier.  This instability may be cause for concern</w:t>
      </w:r>
      <w:r>
        <w:rPr>
          <w:rFonts w:ascii="Times New Roman" w:hAnsi="Times New Roman"/>
        </w:rPr>
        <w:t>. It points to the need to understand both the evolution of</w:t>
      </w:r>
      <w:r w:rsidRPr="00874D51">
        <w:rPr>
          <w:rFonts w:ascii="Times New Roman" w:hAnsi="Times New Roman"/>
        </w:rPr>
        <w:t xml:space="preserve"> financial conditions and </w:t>
      </w:r>
      <w:r>
        <w:rPr>
          <w:rFonts w:ascii="Times New Roman" w:hAnsi="Times New Roman"/>
        </w:rPr>
        <w:t>its</w:t>
      </w:r>
      <w:r w:rsidRPr="00874D51">
        <w:rPr>
          <w:rFonts w:ascii="Times New Roman" w:hAnsi="Times New Roman"/>
        </w:rPr>
        <w:t xml:space="preserve"> underlying causes</w:t>
      </w:r>
      <w:r>
        <w:rPr>
          <w:rFonts w:ascii="Times New Roman" w:hAnsi="Times New Roman"/>
        </w:rPr>
        <w:t xml:space="preserve"> in order</w:t>
      </w:r>
      <w:r w:rsidRPr="00874D51">
        <w:rPr>
          <w:rFonts w:ascii="Times New Roman" w:hAnsi="Times New Roman"/>
        </w:rPr>
        <w:t xml:space="preserve"> to use FCIs</w:t>
      </w:r>
      <w:r>
        <w:rPr>
          <w:rFonts w:ascii="Times New Roman" w:hAnsi="Times New Roman"/>
        </w:rPr>
        <w:t xml:space="preserve"> effectively</w:t>
      </w:r>
      <w:r w:rsidRPr="00874D51">
        <w:rPr>
          <w:rFonts w:ascii="Times New Roman" w:hAnsi="Times New Roman"/>
        </w:rPr>
        <w:t xml:space="preserve">.  </w:t>
      </w:r>
      <w:r>
        <w:rPr>
          <w:rFonts w:ascii="Times New Roman" w:hAnsi="Times New Roman"/>
        </w:rPr>
        <w:t>For example,</w:t>
      </w:r>
      <w:r w:rsidRPr="00874D51">
        <w:rPr>
          <w:rFonts w:ascii="Times New Roman" w:hAnsi="Times New Roman"/>
        </w:rPr>
        <w:t xml:space="preserve"> </w:t>
      </w:r>
      <w:r>
        <w:rPr>
          <w:rFonts w:ascii="Times New Roman" w:hAnsi="Times New Roman"/>
        </w:rPr>
        <w:t>w</w:t>
      </w:r>
      <w:r w:rsidRPr="00874D51">
        <w:rPr>
          <w:rFonts w:ascii="Times New Roman" w:hAnsi="Times New Roman"/>
        </w:rPr>
        <w:t xml:space="preserve">e find that purging the index of macroeconomic influences yields substantially better results (than not purging) in some periods (the early 1990s and the 2000s, especially most recently), but worse results in other periods.  The </w:t>
      </w:r>
      <w:r>
        <w:rPr>
          <w:rFonts w:ascii="Times New Roman" w:hAnsi="Times New Roman"/>
        </w:rPr>
        <w:t>periods of success</w:t>
      </w:r>
      <w:r w:rsidRPr="00874D51">
        <w:rPr>
          <w:rFonts w:ascii="Times New Roman" w:hAnsi="Times New Roman"/>
        </w:rPr>
        <w:t xml:space="preserve"> have been </w:t>
      </w:r>
      <w:r>
        <w:rPr>
          <w:rFonts w:ascii="Times New Roman" w:hAnsi="Times New Roman"/>
        </w:rPr>
        <w:t>associated with</w:t>
      </w:r>
      <w:r w:rsidRPr="00874D51">
        <w:rPr>
          <w:rFonts w:ascii="Times New Roman" w:hAnsi="Times New Roman"/>
        </w:rPr>
        <w:t xml:space="preserve"> </w:t>
      </w:r>
      <w:r>
        <w:rPr>
          <w:rFonts w:ascii="Times New Roman" w:hAnsi="Times New Roman"/>
        </w:rPr>
        <w:t>episodes</w:t>
      </w:r>
      <w:r w:rsidRPr="00874D51">
        <w:rPr>
          <w:rFonts w:ascii="Times New Roman" w:hAnsi="Times New Roman"/>
        </w:rPr>
        <w:t xml:space="preserve"> of considerable financial distress—the S&amp;L crisis of the early 1990s, the dot-com bubble burst of the early 2000s, and the more severe financial crisis in recent years.</w:t>
      </w:r>
      <w:r>
        <w:rPr>
          <w:rFonts w:ascii="Times New Roman" w:hAnsi="Times New Roman"/>
        </w:rPr>
        <w:t xml:space="preserve"> While these episodes may have been triggered by monetary policy restraint, the scale of turmoil was not closely related to the degree of restraint.</w:t>
      </w:r>
      <w:r w:rsidRPr="00874D51">
        <w:rPr>
          <w:rFonts w:ascii="Times New Roman" w:hAnsi="Times New Roman"/>
        </w:rPr>
        <w:t xml:space="preserve"> </w:t>
      </w:r>
    </w:p>
    <w:p w:rsidR="009210F9"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rPr>
      </w:pPr>
      <w:r w:rsidRPr="00874D51">
        <w:rPr>
          <w:rFonts w:ascii="Times New Roman" w:hAnsi="Times New Roman"/>
        </w:rPr>
        <w:t xml:space="preserve">Our discussion in Section 2.1 noted the extent to which FCIs historically have been considered as a way to broaden measurement of the monetary transmission mechanism.  But it also noted that at times, exogenous influences other than changes in monetary policy can be the dominant driver of broad financial conditions.  This </w:t>
      </w:r>
      <w:r>
        <w:rPr>
          <w:rFonts w:ascii="Times New Roman" w:hAnsi="Times New Roman"/>
        </w:rPr>
        <w:t>pattern has prevailed</w:t>
      </w:r>
      <w:r w:rsidRPr="00874D51">
        <w:rPr>
          <w:rFonts w:ascii="Times New Roman" w:hAnsi="Times New Roman"/>
        </w:rPr>
        <w:t xml:space="preserve"> in recent years, and may help to explain why </w:t>
      </w:r>
      <w:r>
        <w:rPr>
          <w:rFonts w:ascii="Times New Roman" w:hAnsi="Times New Roman"/>
        </w:rPr>
        <w:t>several FCIs</w:t>
      </w:r>
      <w:r w:rsidRPr="00874D51">
        <w:rPr>
          <w:rFonts w:ascii="Times New Roman" w:hAnsi="Times New Roman"/>
        </w:rPr>
        <w:t xml:space="preserve"> </w:t>
      </w:r>
      <w:r>
        <w:rPr>
          <w:rFonts w:ascii="Times New Roman" w:hAnsi="Times New Roman"/>
        </w:rPr>
        <w:t>functioned</w:t>
      </w:r>
      <w:r w:rsidRPr="00874D51">
        <w:rPr>
          <w:rFonts w:ascii="Times New Roman" w:hAnsi="Times New Roman"/>
        </w:rPr>
        <w:t xml:space="preserve"> better more recently.  To illustrate this point empirically, Figure 5.</w:t>
      </w:r>
      <w:r>
        <w:rPr>
          <w:rFonts w:ascii="Times New Roman" w:hAnsi="Times New Roman"/>
        </w:rPr>
        <w:t>7</w:t>
      </w:r>
      <w:r w:rsidRPr="00874D51">
        <w:rPr>
          <w:rFonts w:ascii="Times New Roman" w:hAnsi="Times New Roman"/>
        </w:rPr>
        <w:t xml:space="preserve"> shows the path of the new FCI and the fed funds target in recent decades.  The shading in Figure 5.</w:t>
      </w:r>
      <w:r>
        <w:rPr>
          <w:rFonts w:ascii="Times New Roman" w:hAnsi="Times New Roman"/>
        </w:rPr>
        <w:t>7</w:t>
      </w:r>
      <w:r w:rsidRPr="00874D51">
        <w:rPr>
          <w:rFonts w:ascii="Times New Roman" w:hAnsi="Times New Roman"/>
        </w:rPr>
        <w:t xml:space="preserve"> denotes periods of Fed policy easing and the non-shaded areas periods of Fed tightening.  </w:t>
      </w:r>
      <w:r>
        <w:rPr>
          <w:rFonts w:ascii="Times New Roman" w:hAnsi="Times New Roman"/>
        </w:rPr>
        <w:t>Until the recent episode,</w:t>
      </w:r>
      <w:r w:rsidRPr="00874D51">
        <w:rPr>
          <w:rFonts w:ascii="Times New Roman" w:hAnsi="Times New Roman"/>
        </w:rPr>
        <w:t xml:space="preserve"> financial conditions </w:t>
      </w:r>
      <w:r>
        <w:rPr>
          <w:rFonts w:ascii="Times New Roman" w:hAnsi="Times New Roman"/>
        </w:rPr>
        <w:t xml:space="preserve">generally </w:t>
      </w:r>
      <w:r w:rsidRPr="00874D51">
        <w:rPr>
          <w:rFonts w:ascii="Times New Roman" w:hAnsi="Times New Roman"/>
        </w:rPr>
        <w:t>deteriorated</w:t>
      </w:r>
      <w:r>
        <w:rPr>
          <w:rFonts w:ascii="Times New Roman" w:hAnsi="Times New Roman"/>
        </w:rPr>
        <w:t xml:space="preserve"> when the Fed tightened</w:t>
      </w:r>
      <w:r w:rsidRPr="00874D51">
        <w:rPr>
          <w:rFonts w:ascii="Times New Roman" w:hAnsi="Times New Roman"/>
        </w:rPr>
        <w:t xml:space="preserve">, and </w:t>
      </w:r>
      <w:r>
        <w:rPr>
          <w:rFonts w:ascii="Times New Roman" w:hAnsi="Times New Roman"/>
        </w:rPr>
        <w:t xml:space="preserve">improved </w:t>
      </w:r>
      <w:r w:rsidRPr="00874D51">
        <w:rPr>
          <w:rFonts w:ascii="Times New Roman" w:hAnsi="Times New Roman"/>
        </w:rPr>
        <w:t xml:space="preserve">when the Fed eased.  </w:t>
      </w:r>
      <w:r>
        <w:rPr>
          <w:rFonts w:ascii="Times New Roman" w:hAnsi="Times New Roman"/>
        </w:rPr>
        <w:t>During the recent crisis, however</w:t>
      </w:r>
      <w:r w:rsidRPr="00874D51">
        <w:rPr>
          <w:rFonts w:ascii="Times New Roman" w:hAnsi="Times New Roman"/>
        </w:rPr>
        <w:t>, financial conditions tightened dramatically</w:t>
      </w:r>
      <w:r>
        <w:rPr>
          <w:rFonts w:ascii="Times New Roman" w:hAnsi="Times New Roman"/>
        </w:rPr>
        <w:t xml:space="preserve"> even as the Fed eased aggressively</w:t>
      </w:r>
      <w:r w:rsidRPr="00874D51">
        <w:rPr>
          <w:rFonts w:ascii="Times New Roman" w:hAnsi="Times New Roman"/>
        </w:rPr>
        <w:t>.  The episodes of Fed tightening are summarized in Figure 5.</w:t>
      </w:r>
      <w:r>
        <w:rPr>
          <w:rFonts w:ascii="Times New Roman" w:hAnsi="Times New Roman"/>
        </w:rPr>
        <w:t>8</w:t>
      </w:r>
      <w:r w:rsidRPr="00874D51">
        <w:rPr>
          <w:rFonts w:ascii="Times New Roman" w:hAnsi="Times New Roman"/>
        </w:rPr>
        <w:t xml:space="preserve">, which shows the maximum, minimum, and average paths of the FCI during periods of Fed tightening prior to the most recent one </w:t>
      </w:r>
      <w:r>
        <w:rPr>
          <w:rFonts w:ascii="Times New Roman" w:hAnsi="Times New Roman"/>
        </w:rPr>
        <w:t>(which began in 2004)</w:t>
      </w:r>
      <w:r w:rsidRPr="00874D51">
        <w:rPr>
          <w:rFonts w:ascii="Times New Roman" w:hAnsi="Times New Roman"/>
        </w:rPr>
        <w:t>.</w:t>
      </w:r>
      <w:r w:rsidRPr="00874D51">
        <w:rPr>
          <w:rStyle w:val="FootnoteReference"/>
          <w:rFonts w:ascii="Times New Roman" w:hAnsi="Times New Roman"/>
        </w:rPr>
        <w:footnoteReference w:id="20"/>
      </w:r>
      <w:r w:rsidRPr="00874D51">
        <w:rPr>
          <w:rFonts w:ascii="Times New Roman" w:hAnsi="Times New Roman"/>
        </w:rPr>
        <w:t xml:space="preserve">  The path of the FCI beginning in 2004 does show a slight deterioration of financial conditions as the Fed tightened, but </w:t>
      </w:r>
      <w:r>
        <w:rPr>
          <w:rFonts w:ascii="Times New Roman" w:hAnsi="Times New Roman"/>
        </w:rPr>
        <w:t>the response is unusually weak</w:t>
      </w:r>
      <w:r w:rsidRPr="00874D51">
        <w:rPr>
          <w:rFonts w:ascii="Times New Roman" w:hAnsi="Times New Roman"/>
        </w:rPr>
        <w:t>.  The results for easing cycles summarized in the same format in Figure 5.</w:t>
      </w:r>
      <w:r>
        <w:rPr>
          <w:rFonts w:ascii="Times New Roman" w:hAnsi="Times New Roman"/>
        </w:rPr>
        <w:t>9</w:t>
      </w:r>
      <w:r w:rsidRPr="00874D51">
        <w:rPr>
          <w:rFonts w:ascii="Times New Roman" w:hAnsi="Times New Roman"/>
        </w:rPr>
        <w:t xml:space="preserve"> are more dramatic</w:t>
      </w:r>
      <w:r>
        <w:rPr>
          <w:rFonts w:ascii="Times New Roman" w:hAnsi="Times New Roman"/>
        </w:rPr>
        <w:t>:</w:t>
      </w:r>
      <w:r w:rsidRPr="00874D51">
        <w:rPr>
          <w:rFonts w:ascii="Times New Roman" w:hAnsi="Times New Roman"/>
        </w:rPr>
        <w:t xml:space="preserve"> </w:t>
      </w:r>
      <w:r>
        <w:rPr>
          <w:rFonts w:ascii="Times New Roman" w:hAnsi="Times New Roman"/>
        </w:rPr>
        <w:t>I</w:t>
      </w:r>
      <w:r w:rsidRPr="00874D51">
        <w:rPr>
          <w:rFonts w:ascii="Times New Roman" w:hAnsi="Times New Roman"/>
        </w:rPr>
        <w:t xml:space="preserve">n the most recent cycle, the FCI </w:t>
      </w:r>
      <w:r w:rsidRPr="00874D51">
        <w:rPr>
          <w:rFonts w:ascii="Times New Roman" w:hAnsi="Times New Roman"/>
          <w:i/>
        </w:rPr>
        <w:t>worsen</w:t>
      </w:r>
      <w:r>
        <w:rPr>
          <w:rFonts w:ascii="Times New Roman" w:hAnsi="Times New Roman"/>
          <w:i/>
        </w:rPr>
        <w:t>s</w:t>
      </w:r>
      <w:r w:rsidRPr="00874D51">
        <w:rPr>
          <w:rFonts w:ascii="Times New Roman" w:hAnsi="Times New Roman"/>
        </w:rPr>
        <w:t xml:space="preserve"> </w:t>
      </w:r>
      <w:r>
        <w:rPr>
          <w:rFonts w:ascii="Times New Roman" w:hAnsi="Times New Roman"/>
        </w:rPr>
        <w:t>for much of the period more than in any prior</w:t>
      </w:r>
      <w:r w:rsidRPr="00874D51">
        <w:rPr>
          <w:rFonts w:ascii="Times New Roman" w:hAnsi="Times New Roman"/>
        </w:rPr>
        <w:t xml:space="preserve"> easing cycle.  </w:t>
      </w:r>
    </w:p>
    <w:p w:rsidR="009210F9"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rPr>
      </w:pPr>
      <w:r>
        <w:rPr>
          <w:rFonts w:ascii="Times New Roman" w:hAnsi="Times New Roman"/>
        </w:rPr>
        <w:t>T</w:t>
      </w:r>
      <w:r w:rsidRPr="00874D51">
        <w:rPr>
          <w:rFonts w:ascii="Times New Roman" w:hAnsi="Times New Roman"/>
        </w:rPr>
        <w:t>hese observations</w:t>
      </w:r>
      <w:r>
        <w:rPr>
          <w:rFonts w:ascii="Times New Roman" w:hAnsi="Times New Roman"/>
        </w:rPr>
        <w:t xml:space="preserve"> suggest </w:t>
      </w:r>
      <w:r w:rsidRPr="00874D51">
        <w:rPr>
          <w:rFonts w:ascii="Times New Roman" w:hAnsi="Times New Roman"/>
        </w:rPr>
        <w:t>that financial conditions indexes do better in predicting activity during periods dominated by exogenous financial disturbance</w:t>
      </w:r>
      <w:r>
        <w:rPr>
          <w:rFonts w:ascii="Times New Roman" w:hAnsi="Times New Roman"/>
        </w:rPr>
        <w:t>s. This pattern favors the strategy of purging macroeconomic influences from financial conditions measures in order to focus on the pure financial shocks.</w:t>
      </w:r>
    </w:p>
    <w:p w:rsidR="009210F9" w:rsidRDefault="009210F9" w:rsidP="009210F9">
      <w:pPr>
        <w:spacing w:line="276" w:lineRule="auto"/>
        <w:rPr>
          <w:rFonts w:ascii="Times New Roman" w:hAnsi="Times New Roman"/>
        </w:rPr>
      </w:pPr>
    </w:p>
    <w:p w:rsidR="009210F9" w:rsidRPr="002C1371" w:rsidRDefault="009210F9" w:rsidP="009210F9">
      <w:pPr>
        <w:spacing w:line="276" w:lineRule="auto"/>
        <w:rPr>
          <w:rFonts w:ascii="Times New Roman" w:hAnsi="Times New Roman"/>
          <w:b/>
        </w:rPr>
      </w:pPr>
      <w:r w:rsidRPr="002C1371">
        <w:rPr>
          <w:rFonts w:ascii="Times New Roman" w:hAnsi="Times New Roman"/>
          <w:b/>
        </w:rPr>
        <w:t>5.4  What our FCI tells us about the period ahead.</w:t>
      </w:r>
    </w:p>
    <w:p w:rsidR="009210F9" w:rsidRDefault="009210F9" w:rsidP="009210F9">
      <w:pPr>
        <w:spacing w:line="276" w:lineRule="auto"/>
        <w:rPr>
          <w:rFonts w:ascii="Times New Roman" w:hAnsi="Times New Roman"/>
          <w:b/>
        </w:rPr>
      </w:pPr>
    </w:p>
    <w:p w:rsidR="009210F9" w:rsidRPr="002C1371" w:rsidRDefault="009210F9" w:rsidP="009210F9">
      <w:pPr>
        <w:spacing w:line="276" w:lineRule="auto"/>
        <w:rPr>
          <w:rFonts w:ascii="Times New Roman" w:hAnsi="Times New Roman"/>
        </w:rPr>
      </w:pPr>
      <w:r w:rsidRPr="00A3299F">
        <w:rPr>
          <w:rFonts w:ascii="Times New Roman" w:hAnsi="Times New Roman"/>
        </w:rPr>
        <w:t>We noted at the outset of this section that our FCI shows a</w:t>
      </w:r>
      <w:r>
        <w:rPr>
          <w:rFonts w:ascii="Times New Roman" w:hAnsi="Times New Roman"/>
        </w:rPr>
        <w:t>n evolution of</w:t>
      </w:r>
      <w:r w:rsidRPr="00A3299F">
        <w:rPr>
          <w:rFonts w:ascii="Times New Roman" w:hAnsi="Times New Roman"/>
        </w:rPr>
        <w:t xml:space="preserve"> financial conditions </w:t>
      </w:r>
      <w:r>
        <w:rPr>
          <w:rFonts w:ascii="Times New Roman" w:hAnsi="Times New Roman"/>
        </w:rPr>
        <w:t>after</w:t>
      </w:r>
      <w:r w:rsidRPr="00A3299F">
        <w:rPr>
          <w:rFonts w:ascii="Times New Roman" w:hAnsi="Times New Roman"/>
        </w:rPr>
        <w:t xml:space="preserve"> the spring of 2009 </w:t>
      </w:r>
      <w:r>
        <w:rPr>
          <w:rFonts w:ascii="Times New Roman" w:hAnsi="Times New Roman"/>
        </w:rPr>
        <w:t xml:space="preserve">that differs from the pattern </w:t>
      </w:r>
      <w:r w:rsidRPr="00A3299F">
        <w:rPr>
          <w:rFonts w:ascii="Times New Roman" w:hAnsi="Times New Roman"/>
        </w:rPr>
        <w:t xml:space="preserve">of other FCIs.  Whereas the existing FCIs show the current level of financial conditions to be back at or slightly better than “normal” levels, our index has deteriorated substantially over the past two quarters.  Indeed, it has retraced </w:t>
      </w:r>
      <w:r w:rsidR="00730796">
        <w:rPr>
          <w:rFonts w:ascii="Times New Roman" w:hAnsi="Times New Roman"/>
        </w:rPr>
        <w:t xml:space="preserve">more than a third </w:t>
      </w:r>
      <w:r w:rsidRPr="00A3299F">
        <w:rPr>
          <w:rFonts w:ascii="Times New Roman" w:hAnsi="Times New Roman"/>
        </w:rPr>
        <w:t xml:space="preserve">of the sharp rebound that had occurred earlier in 2009.  This </w:t>
      </w:r>
      <w:r>
        <w:rPr>
          <w:rFonts w:ascii="Times New Roman" w:hAnsi="Times New Roman"/>
        </w:rPr>
        <w:t xml:space="preserve">setback </w:t>
      </w:r>
      <w:r w:rsidRPr="00A3299F">
        <w:rPr>
          <w:rFonts w:ascii="Times New Roman" w:hAnsi="Times New Roman"/>
        </w:rPr>
        <w:t xml:space="preserve">suggests that financial conditions are somewhat less supportive of growth in real activity than suggested by other FCIs.   </w:t>
      </w:r>
    </w:p>
    <w:p w:rsidR="009210F9" w:rsidRPr="002C1371" w:rsidRDefault="009210F9" w:rsidP="009210F9">
      <w:pPr>
        <w:spacing w:line="276" w:lineRule="auto"/>
        <w:rPr>
          <w:rFonts w:ascii="Times New Roman" w:hAnsi="Times New Roman"/>
        </w:rPr>
      </w:pPr>
    </w:p>
    <w:p w:rsidR="009210F9" w:rsidRPr="002C1371" w:rsidRDefault="009210F9" w:rsidP="009210F9">
      <w:pPr>
        <w:spacing w:line="276" w:lineRule="auto"/>
        <w:rPr>
          <w:rFonts w:ascii="Times New Roman" w:hAnsi="Times New Roman"/>
        </w:rPr>
      </w:pPr>
      <w:r w:rsidRPr="00A3299F">
        <w:rPr>
          <w:rFonts w:ascii="Times New Roman" w:hAnsi="Times New Roman"/>
        </w:rPr>
        <w:t xml:space="preserve">How do we explain this result?  We cannot rule out statistical variance in the data around a turning point as a contributing factor.  However, there may very well be an important behavioral explanation for the </w:t>
      </w:r>
      <w:r>
        <w:rPr>
          <w:rFonts w:ascii="Times New Roman" w:hAnsi="Times New Roman"/>
        </w:rPr>
        <w:t>retreat of</w:t>
      </w:r>
      <w:r w:rsidRPr="00A3299F">
        <w:rPr>
          <w:rFonts w:ascii="Times New Roman" w:hAnsi="Times New Roman"/>
        </w:rPr>
        <w:t xml:space="preserve"> financial conditions.  To show this, Figure 5.10 decomposes the changes</w:t>
      </w:r>
      <w:r w:rsidR="00730796">
        <w:rPr>
          <w:rFonts w:ascii="Times New Roman" w:hAnsi="Times New Roman"/>
        </w:rPr>
        <w:t xml:space="preserve"> from 2009:Q2 to 2009:Q4 </w:t>
      </w:r>
      <w:r w:rsidRPr="00A3299F">
        <w:rPr>
          <w:rFonts w:ascii="Times New Roman" w:hAnsi="Times New Roman"/>
        </w:rPr>
        <w:t xml:space="preserve"> in both the unpurged and purged version</w:t>
      </w:r>
      <w:r>
        <w:rPr>
          <w:rFonts w:ascii="Times New Roman" w:hAnsi="Times New Roman"/>
        </w:rPr>
        <w:t>s</w:t>
      </w:r>
      <w:r w:rsidRPr="00A3299F">
        <w:rPr>
          <w:rFonts w:ascii="Times New Roman" w:hAnsi="Times New Roman"/>
        </w:rPr>
        <w:t xml:space="preserve"> of our FCI into </w:t>
      </w:r>
      <w:r>
        <w:rPr>
          <w:rFonts w:ascii="Times New Roman" w:hAnsi="Times New Roman"/>
        </w:rPr>
        <w:t>the</w:t>
      </w:r>
      <w:r w:rsidRPr="00A3299F">
        <w:rPr>
          <w:rFonts w:ascii="Times New Roman" w:hAnsi="Times New Roman"/>
        </w:rPr>
        <w:t xml:space="preserve"> five main </w:t>
      </w:r>
      <w:r>
        <w:rPr>
          <w:rFonts w:ascii="Times New Roman" w:hAnsi="Times New Roman"/>
        </w:rPr>
        <w:t>indicator</w:t>
      </w:r>
      <w:r w:rsidRPr="00A3299F">
        <w:rPr>
          <w:rFonts w:ascii="Times New Roman" w:hAnsi="Times New Roman"/>
        </w:rPr>
        <w:t xml:space="preserve"> categories: interest rates, asset prices, quantitative indicators, surveys, and second moments.  On an unpurged basis, the interest rate, survey, and second moment indicators improved, although some of this improvement was offset by a deterioration </w:t>
      </w:r>
      <w:r>
        <w:rPr>
          <w:rFonts w:ascii="Times New Roman" w:hAnsi="Times New Roman"/>
        </w:rPr>
        <w:t>elsewhere</w:t>
      </w:r>
      <w:r w:rsidRPr="00A3299F">
        <w:rPr>
          <w:rFonts w:ascii="Times New Roman" w:hAnsi="Times New Roman"/>
        </w:rPr>
        <w:t>.</w:t>
      </w:r>
      <w:r w:rsidRPr="00A3299F">
        <w:rPr>
          <w:rStyle w:val="FootnoteReference"/>
          <w:rFonts w:ascii="Times New Roman" w:hAnsi="Times New Roman"/>
        </w:rPr>
        <w:footnoteReference w:id="21"/>
      </w:r>
      <w:r w:rsidRPr="00A3299F">
        <w:rPr>
          <w:rFonts w:ascii="Times New Roman" w:hAnsi="Times New Roman"/>
        </w:rPr>
        <w:t xml:space="preserve">  However, on a purged basis, the interest rate and second moment indicators show</w:t>
      </w:r>
      <w:r>
        <w:rPr>
          <w:rFonts w:ascii="Times New Roman" w:hAnsi="Times New Roman"/>
        </w:rPr>
        <w:t xml:space="preserve"> only </w:t>
      </w:r>
      <w:r w:rsidRPr="00A3299F">
        <w:rPr>
          <w:rFonts w:ascii="Times New Roman" w:hAnsi="Times New Roman"/>
        </w:rPr>
        <w:t>a modest improvement, while the asset price, survey and especially quantitative indicators deteriorated substantially.  The deterioration in the quantitative indicators was concentrated in non-mortgage ABS issuance, commercial mortgage debt, and repo loans.</w:t>
      </w:r>
    </w:p>
    <w:p w:rsidR="009210F9" w:rsidRPr="002C1371" w:rsidRDefault="009210F9" w:rsidP="009210F9">
      <w:pPr>
        <w:spacing w:line="276" w:lineRule="auto"/>
        <w:rPr>
          <w:rFonts w:ascii="Times New Roman" w:hAnsi="Times New Roman"/>
        </w:rPr>
      </w:pPr>
    </w:p>
    <w:p w:rsidR="009210F9" w:rsidRPr="002C1371" w:rsidRDefault="009210F9" w:rsidP="009210F9">
      <w:pPr>
        <w:spacing w:line="276" w:lineRule="auto"/>
        <w:rPr>
          <w:rFonts w:ascii="Times New Roman" w:hAnsi="Times New Roman"/>
        </w:rPr>
      </w:pPr>
      <w:r w:rsidRPr="00A3299F">
        <w:rPr>
          <w:rFonts w:ascii="Times New Roman" w:hAnsi="Times New Roman"/>
        </w:rPr>
        <w:t xml:space="preserve">By way of interpretation, we </w:t>
      </w:r>
      <w:r>
        <w:rPr>
          <w:rFonts w:ascii="Times New Roman" w:hAnsi="Times New Roman"/>
        </w:rPr>
        <w:t xml:space="preserve">see </w:t>
      </w:r>
      <w:r w:rsidRPr="00A3299F">
        <w:rPr>
          <w:rFonts w:ascii="Times New Roman" w:hAnsi="Times New Roman"/>
        </w:rPr>
        <w:t xml:space="preserve">two main reasons for the difference between </w:t>
      </w:r>
      <w:r>
        <w:rPr>
          <w:rFonts w:ascii="Times New Roman" w:hAnsi="Times New Roman"/>
        </w:rPr>
        <w:t>the new</w:t>
      </w:r>
      <w:r w:rsidRPr="00A3299F">
        <w:rPr>
          <w:rFonts w:ascii="Times New Roman" w:hAnsi="Times New Roman"/>
        </w:rPr>
        <w:t xml:space="preserve"> FCI and other </w:t>
      </w:r>
      <w:r>
        <w:rPr>
          <w:rFonts w:ascii="Times New Roman" w:hAnsi="Times New Roman"/>
        </w:rPr>
        <w:t>measures</w:t>
      </w:r>
      <w:r w:rsidRPr="00A3299F">
        <w:rPr>
          <w:rFonts w:ascii="Times New Roman" w:hAnsi="Times New Roman"/>
        </w:rPr>
        <w:t xml:space="preserve">: 1) </w:t>
      </w:r>
      <w:r>
        <w:rPr>
          <w:rFonts w:ascii="Times New Roman" w:hAnsi="Times New Roman"/>
        </w:rPr>
        <w:t>the</w:t>
      </w:r>
      <w:r w:rsidRPr="00A3299F">
        <w:rPr>
          <w:rFonts w:ascii="Times New Roman" w:hAnsi="Times New Roman"/>
        </w:rPr>
        <w:t xml:space="preserve"> broader range of in</w:t>
      </w:r>
      <w:r>
        <w:rPr>
          <w:rFonts w:ascii="Times New Roman" w:hAnsi="Times New Roman"/>
        </w:rPr>
        <w:t>dicators included</w:t>
      </w:r>
      <w:r w:rsidRPr="00A3299F">
        <w:rPr>
          <w:rFonts w:ascii="Times New Roman" w:hAnsi="Times New Roman"/>
        </w:rPr>
        <w:t xml:space="preserve"> and 2) </w:t>
      </w:r>
      <w:r>
        <w:rPr>
          <w:rFonts w:ascii="Times New Roman" w:hAnsi="Times New Roman"/>
        </w:rPr>
        <w:t xml:space="preserve">the purging of </w:t>
      </w:r>
      <w:r w:rsidRPr="00A3299F">
        <w:rPr>
          <w:rFonts w:ascii="Times New Roman" w:hAnsi="Times New Roman"/>
        </w:rPr>
        <w:t xml:space="preserve">the direct impact of the business cycle on financial conditions.  Regarding 1), the improvement in financial conditions since the spring of 2009 has been concentrated in indicators that are included in virtually all financial conditions indexes, namely interest rates, credit spreads, and stock prices.  In contrast, </w:t>
      </w:r>
      <w:r w:rsidR="00A35E6B" w:rsidRPr="00A3299F">
        <w:rPr>
          <w:rFonts w:ascii="Times New Roman" w:hAnsi="Times New Roman"/>
        </w:rPr>
        <w:t>s</w:t>
      </w:r>
      <w:r w:rsidR="00A35E6B">
        <w:rPr>
          <w:rFonts w:ascii="Times New Roman" w:hAnsi="Times New Roman"/>
        </w:rPr>
        <w:t>everal</w:t>
      </w:r>
      <w:r w:rsidR="00A35E6B" w:rsidRPr="00A3299F">
        <w:rPr>
          <w:rFonts w:ascii="Times New Roman" w:hAnsi="Times New Roman"/>
        </w:rPr>
        <w:t xml:space="preserve"> </w:t>
      </w:r>
      <w:r w:rsidRPr="00A3299F">
        <w:rPr>
          <w:rFonts w:ascii="Times New Roman" w:hAnsi="Times New Roman"/>
        </w:rPr>
        <w:t xml:space="preserve">components of our FCI that have not been previously included – particularly quantity indicators related to the performance of the “shadow banking system” such as ABS issuance </w:t>
      </w:r>
      <w:r w:rsidR="00A35E6B">
        <w:rPr>
          <w:rFonts w:ascii="Times New Roman" w:hAnsi="Times New Roman"/>
        </w:rPr>
        <w:t xml:space="preserve">and </w:t>
      </w:r>
      <w:r w:rsidRPr="00A3299F">
        <w:rPr>
          <w:rFonts w:ascii="Times New Roman" w:hAnsi="Times New Roman"/>
        </w:rPr>
        <w:t>repo loans</w:t>
      </w:r>
      <w:r w:rsidR="00A35E6B">
        <w:rPr>
          <w:rFonts w:ascii="Times New Roman" w:hAnsi="Times New Roman"/>
        </w:rPr>
        <w:t>, as well as total financial market cap</w:t>
      </w:r>
      <w:r w:rsidR="00DA169F">
        <w:rPr>
          <w:rFonts w:ascii="Times New Roman" w:hAnsi="Times New Roman"/>
        </w:rPr>
        <w:t xml:space="preserve"> and surveys of bank lending standards</w:t>
      </w:r>
      <w:r w:rsidRPr="00A3299F">
        <w:rPr>
          <w:rFonts w:ascii="Times New Roman" w:hAnsi="Times New Roman"/>
        </w:rPr>
        <w:t xml:space="preserve"> –  failed to improve </w:t>
      </w:r>
      <w:r w:rsidR="00A35E6B">
        <w:rPr>
          <w:rFonts w:ascii="Times New Roman" w:hAnsi="Times New Roman"/>
        </w:rPr>
        <w:t>much</w:t>
      </w:r>
      <w:r w:rsidR="00DA169F">
        <w:rPr>
          <w:rFonts w:ascii="Times New Roman" w:hAnsi="Times New Roman"/>
        </w:rPr>
        <w:t xml:space="preserve"> (or at least anywhere near as much as normally could be anticipated during an economic recovery)</w:t>
      </w:r>
      <w:r w:rsidRPr="00A3299F">
        <w:rPr>
          <w:rFonts w:ascii="Times New Roman" w:hAnsi="Times New Roman"/>
        </w:rPr>
        <w:t xml:space="preserve">.  </w:t>
      </w:r>
      <w:r>
        <w:rPr>
          <w:rFonts w:ascii="Times New Roman" w:hAnsi="Times New Roman"/>
        </w:rPr>
        <w:t>This is seen in Table 5.</w:t>
      </w:r>
      <w:r w:rsidR="00730796">
        <w:rPr>
          <w:rFonts w:ascii="Times New Roman" w:hAnsi="Times New Roman"/>
        </w:rPr>
        <w:t>3</w:t>
      </w:r>
      <w:r>
        <w:rPr>
          <w:rFonts w:ascii="Times New Roman" w:hAnsi="Times New Roman"/>
        </w:rPr>
        <w:t xml:space="preserve"> and Figure 5.11.  </w:t>
      </w:r>
      <w:r w:rsidR="00EB622F">
        <w:rPr>
          <w:rFonts w:ascii="Times New Roman" w:hAnsi="Times New Roman"/>
        </w:rPr>
        <w:t xml:space="preserve"> </w:t>
      </w:r>
      <w:r>
        <w:rPr>
          <w:rFonts w:ascii="Times New Roman" w:hAnsi="Times New Roman"/>
        </w:rPr>
        <w:t xml:space="preserve">The table shows the top contributors (across components of our FCI) to the decline in the overall FCI during the second half of 2009.  ABS issuance is clearly at the top of the list.  Figure 5.11 indicates that ABS issuance remained relatively subdued during the second half of 2009.  </w:t>
      </w:r>
      <w:r w:rsidRPr="00A3299F">
        <w:rPr>
          <w:rFonts w:ascii="Times New Roman" w:hAnsi="Times New Roman"/>
        </w:rPr>
        <w:t>This suggests that the continued woes of the shadow banking system could continue to weigh on the pace of the recovery, despite the recovery in more traditional measures of financial conditions.</w:t>
      </w:r>
    </w:p>
    <w:p w:rsidR="009210F9" w:rsidRPr="002C1371"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rPr>
      </w:pPr>
      <w:r w:rsidRPr="00A3299F">
        <w:rPr>
          <w:rFonts w:ascii="Times New Roman" w:hAnsi="Times New Roman"/>
        </w:rPr>
        <w:t xml:space="preserve">Regarding </w:t>
      </w:r>
      <w:r>
        <w:rPr>
          <w:rFonts w:ascii="Times New Roman" w:hAnsi="Times New Roman"/>
        </w:rPr>
        <w:t>the second factor</w:t>
      </w:r>
      <w:r w:rsidRPr="00A3299F">
        <w:rPr>
          <w:rFonts w:ascii="Times New Roman" w:hAnsi="Times New Roman"/>
        </w:rPr>
        <w:t xml:space="preserve">, </w:t>
      </w:r>
      <w:r>
        <w:rPr>
          <w:rFonts w:ascii="Times New Roman" w:hAnsi="Times New Roman"/>
        </w:rPr>
        <w:t xml:space="preserve">it is noteworthy </w:t>
      </w:r>
      <w:r w:rsidRPr="00A3299F">
        <w:rPr>
          <w:rFonts w:ascii="Times New Roman" w:hAnsi="Times New Roman"/>
        </w:rPr>
        <w:t xml:space="preserve">that </w:t>
      </w:r>
      <w:r>
        <w:rPr>
          <w:rFonts w:ascii="Times New Roman" w:hAnsi="Times New Roman"/>
        </w:rPr>
        <w:t xml:space="preserve">the </w:t>
      </w:r>
      <w:r w:rsidRPr="00A3299F">
        <w:rPr>
          <w:rFonts w:ascii="Times New Roman" w:hAnsi="Times New Roman"/>
        </w:rPr>
        <w:t xml:space="preserve">purged </w:t>
      </w:r>
      <w:r>
        <w:rPr>
          <w:rFonts w:ascii="Times New Roman" w:hAnsi="Times New Roman"/>
        </w:rPr>
        <w:t>FCI</w:t>
      </w:r>
      <w:r w:rsidRPr="00A3299F">
        <w:rPr>
          <w:rFonts w:ascii="Times New Roman" w:hAnsi="Times New Roman"/>
        </w:rPr>
        <w:t xml:space="preserve"> has deteriorated relative to </w:t>
      </w:r>
      <w:r>
        <w:rPr>
          <w:rFonts w:ascii="Times New Roman" w:hAnsi="Times New Roman"/>
        </w:rPr>
        <w:t>the</w:t>
      </w:r>
      <w:r w:rsidRPr="00A3299F">
        <w:rPr>
          <w:rFonts w:ascii="Times New Roman" w:hAnsi="Times New Roman"/>
        </w:rPr>
        <w:t xml:space="preserve"> unpurged index</w:t>
      </w:r>
      <w:r>
        <w:rPr>
          <w:rFonts w:ascii="Times New Roman" w:hAnsi="Times New Roman"/>
        </w:rPr>
        <w:t>. This gap</w:t>
      </w:r>
      <w:r w:rsidRPr="00A3299F">
        <w:rPr>
          <w:rFonts w:ascii="Times New Roman" w:hAnsi="Times New Roman"/>
        </w:rPr>
        <w:t xml:space="preserve"> means that the</w:t>
      </w:r>
      <w:r>
        <w:rPr>
          <w:rFonts w:ascii="Times New Roman" w:hAnsi="Times New Roman"/>
        </w:rPr>
        <w:t xml:space="preserve"> evolution of</w:t>
      </w:r>
      <w:r w:rsidRPr="00A3299F">
        <w:rPr>
          <w:rFonts w:ascii="Times New Roman" w:hAnsi="Times New Roman"/>
        </w:rPr>
        <w:t xml:space="preserve"> financial conditions since </w:t>
      </w:r>
      <w:r>
        <w:rPr>
          <w:rFonts w:ascii="Times New Roman" w:hAnsi="Times New Roman"/>
        </w:rPr>
        <w:t>mid-2009</w:t>
      </w:r>
      <w:r w:rsidRPr="00A3299F">
        <w:rPr>
          <w:rFonts w:ascii="Times New Roman" w:hAnsi="Times New Roman"/>
        </w:rPr>
        <w:t xml:space="preserve"> has fallen short of </w:t>
      </w:r>
      <w:r>
        <w:rPr>
          <w:rFonts w:ascii="Times New Roman" w:hAnsi="Times New Roman"/>
        </w:rPr>
        <w:t>past experience in the presence of a GDP rebound</w:t>
      </w:r>
      <w:r w:rsidRPr="00A3299F">
        <w:rPr>
          <w:rFonts w:ascii="Times New Roman" w:hAnsi="Times New Roman"/>
        </w:rPr>
        <w:t xml:space="preserve">.  In other words, </w:t>
      </w:r>
      <w:r>
        <w:rPr>
          <w:rFonts w:ascii="Times New Roman" w:hAnsi="Times New Roman"/>
        </w:rPr>
        <w:t xml:space="preserve">any improvement of financial </w:t>
      </w:r>
      <w:r w:rsidRPr="00A3299F">
        <w:rPr>
          <w:rFonts w:ascii="Times New Roman" w:hAnsi="Times New Roman"/>
        </w:rPr>
        <w:t>conditions</w:t>
      </w:r>
      <w:r>
        <w:rPr>
          <w:rFonts w:ascii="Times New Roman" w:hAnsi="Times New Roman"/>
        </w:rPr>
        <w:t xml:space="preserve"> was </w:t>
      </w:r>
      <w:r w:rsidRPr="00A3299F">
        <w:rPr>
          <w:rFonts w:ascii="Times New Roman" w:hAnsi="Times New Roman"/>
        </w:rPr>
        <w:t xml:space="preserve">more than accounted for by the impact of </w:t>
      </w:r>
      <w:r w:rsidRPr="00A3299F">
        <w:rPr>
          <w:rFonts w:ascii="Times New Roman" w:hAnsi="Times New Roman"/>
          <w:i/>
        </w:rPr>
        <w:t>past</w:t>
      </w:r>
      <w:r>
        <w:rPr>
          <w:rFonts w:ascii="Times New Roman" w:hAnsi="Times New Roman"/>
        </w:rPr>
        <w:t xml:space="preserve"> </w:t>
      </w:r>
      <w:r w:rsidRPr="00A3299F">
        <w:rPr>
          <w:rFonts w:ascii="Times New Roman" w:hAnsi="Times New Roman"/>
        </w:rPr>
        <w:t xml:space="preserve">economic growth. </w:t>
      </w:r>
      <w:r>
        <w:rPr>
          <w:rFonts w:ascii="Times New Roman" w:hAnsi="Times New Roman"/>
        </w:rPr>
        <w:t>Consequently</w:t>
      </w:r>
      <w:r w:rsidRPr="00A3299F">
        <w:rPr>
          <w:rFonts w:ascii="Times New Roman" w:hAnsi="Times New Roman"/>
        </w:rPr>
        <w:t xml:space="preserve">, the implications </w:t>
      </w:r>
      <w:r>
        <w:rPr>
          <w:rFonts w:ascii="Times New Roman" w:hAnsi="Times New Roman"/>
        </w:rPr>
        <w:t xml:space="preserve">of current financial conditions </w:t>
      </w:r>
      <w:r w:rsidRPr="00A3299F">
        <w:rPr>
          <w:rFonts w:ascii="Times New Roman" w:hAnsi="Times New Roman"/>
        </w:rPr>
        <w:t xml:space="preserve">for </w:t>
      </w:r>
      <w:r w:rsidRPr="00A3299F">
        <w:rPr>
          <w:rFonts w:ascii="Times New Roman" w:hAnsi="Times New Roman"/>
          <w:i/>
        </w:rPr>
        <w:t>future</w:t>
      </w:r>
      <w:r w:rsidRPr="00A3299F">
        <w:rPr>
          <w:rFonts w:ascii="Times New Roman" w:hAnsi="Times New Roman"/>
        </w:rPr>
        <w:t xml:space="preserve"> growth a</w:t>
      </w:r>
      <w:r>
        <w:rPr>
          <w:rFonts w:ascii="Times New Roman" w:hAnsi="Times New Roman"/>
        </w:rPr>
        <w:t>ppear</w:t>
      </w:r>
      <w:r w:rsidRPr="00A3299F">
        <w:rPr>
          <w:rFonts w:ascii="Times New Roman" w:hAnsi="Times New Roman"/>
        </w:rPr>
        <w:t xml:space="preserve"> </w:t>
      </w:r>
      <w:r>
        <w:rPr>
          <w:rFonts w:ascii="Times New Roman" w:hAnsi="Times New Roman"/>
        </w:rPr>
        <w:t>somewhat less favorable than traditional FCIs may imply</w:t>
      </w:r>
      <w:r w:rsidRPr="00A3299F">
        <w:rPr>
          <w:rFonts w:ascii="Times New Roman" w:hAnsi="Times New Roman"/>
        </w:rPr>
        <w:t>.</w:t>
      </w:r>
    </w:p>
    <w:p w:rsidR="009210F9" w:rsidRPr="002C1371"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rPr>
      </w:pPr>
      <w:r>
        <w:rPr>
          <w:rFonts w:ascii="Times New Roman" w:hAnsi="Times New Roman"/>
        </w:rPr>
        <w:t xml:space="preserve"> </w:t>
      </w:r>
    </w:p>
    <w:p w:rsidR="009210F9" w:rsidRPr="00874D51" w:rsidRDefault="009210F9" w:rsidP="009210F9">
      <w:pPr>
        <w:spacing w:line="276" w:lineRule="auto"/>
        <w:rPr>
          <w:rFonts w:ascii="Times New Roman" w:hAnsi="Times New Roman"/>
        </w:rPr>
      </w:pPr>
    </w:p>
    <w:p w:rsidR="009210F9" w:rsidRPr="00874D51" w:rsidRDefault="009210F9" w:rsidP="009210F9">
      <w:pPr>
        <w:spacing w:line="276" w:lineRule="auto"/>
        <w:rPr>
          <w:rFonts w:ascii="Times New Roman" w:hAnsi="Times New Roman"/>
        </w:rPr>
      </w:pPr>
      <w:r w:rsidRPr="00874D51">
        <w:rPr>
          <w:rFonts w:ascii="Times New Roman" w:hAnsi="Times New Roman"/>
          <w:b/>
        </w:rPr>
        <w:t>6. CONCLUDING REMARKS</w:t>
      </w:r>
    </w:p>
    <w:p w:rsidR="009210F9" w:rsidRPr="00874D51" w:rsidRDefault="009210F9" w:rsidP="009210F9">
      <w:pPr>
        <w:spacing w:line="276" w:lineRule="auto"/>
        <w:rPr>
          <w:rFonts w:ascii="Times New Roman" w:hAnsi="Times New Roman"/>
        </w:rPr>
      </w:pPr>
    </w:p>
    <w:p w:rsidR="009210F9" w:rsidRPr="00874D51" w:rsidRDefault="009210F9" w:rsidP="009210F9">
      <w:pPr>
        <w:spacing w:line="276" w:lineRule="auto"/>
        <w:rPr>
          <w:rFonts w:ascii="Times New Roman" w:hAnsi="Times New Roman"/>
        </w:rPr>
      </w:pPr>
      <w:r w:rsidRPr="00874D51">
        <w:rPr>
          <w:rFonts w:ascii="Times New Roman" w:hAnsi="Times New Roman"/>
        </w:rPr>
        <w:t>In this paper</w:t>
      </w:r>
      <w:r>
        <w:rPr>
          <w:rFonts w:ascii="Times New Roman" w:hAnsi="Times New Roman"/>
        </w:rPr>
        <w:t>,</w:t>
      </w:r>
      <w:r w:rsidRPr="00874D51">
        <w:rPr>
          <w:rFonts w:ascii="Times New Roman" w:hAnsi="Times New Roman"/>
        </w:rPr>
        <w:t xml:space="preserve"> we studied financial condition indexes and find that they </w:t>
      </w:r>
      <w:r>
        <w:rPr>
          <w:rFonts w:ascii="Times New Roman" w:hAnsi="Times New Roman"/>
        </w:rPr>
        <w:t>can help predict</w:t>
      </w:r>
      <w:r w:rsidRPr="00874D51">
        <w:rPr>
          <w:rFonts w:ascii="Times New Roman" w:hAnsi="Times New Roman"/>
        </w:rPr>
        <w:t xml:space="preserve"> economic activity.  Among single-variable indicators, a broad stock market index </w:t>
      </w:r>
      <w:r>
        <w:rPr>
          <w:rFonts w:ascii="Times New Roman" w:hAnsi="Times New Roman"/>
        </w:rPr>
        <w:t>outperforms as a predictor</w:t>
      </w:r>
      <w:r w:rsidRPr="00874D51">
        <w:rPr>
          <w:rFonts w:ascii="Times New Roman" w:hAnsi="Times New Roman"/>
        </w:rPr>
        <w:t xml:space="preserve"> over the next two to four</w:t>
      </w:r>
      <w:r>
        <w:rPr>
          <w:rFonts w:ascii="Times New Roman" w:hAnsi="Times New Roman"/>
        </w:rPr>
        <w:t xml:space="preserve"> quarters</w:t>
      </w:r>
      <w:r w:rsidRPr="00874D51">
        <w:rPr>
          <w:rFonts w:ascii="Times New Roman" w:hAnsi="Times New Roman"/>
        </w:rPr>
        <w:t xml:space="preserve">.  </w:t>
      </w:r>
      <w:r>
        <w:rPr>
          <w:rFonts w:ascii="Times New Roman" w:hAnsi="Times New Roman"/>
        </w:rPr>
        <w:t>A</w:t>
      </w:r>
      <w:r w:rsidRPr="00874D51">
        <w:rPr>
          <w:rFonts w:ascii="Times New Roman" w:hAnsi="Times New Roman"/>
        </w:rPr>
        <w:t xml:space="preserve"> representative sample of available FCIs</w:t>
      </w:r>
      <w:r>
        <w:rPr>
          <w:rFonts w:ascii="Times New Roman" w:hAnsi="Times New Roman"/>
        </w:rPr>
        <w:t xml:space="preserve"> typically</w:t>
      </w:r>
      <w:r w:rsidRPr="00874D51">
        <w:rPr>
          <w:rFonts w:ascii="Times New Roman" w:hAnsi="Times New Roman"/>
        </w:rPr>
        <w:t xml:space="preserve"> </w:t>
      </w:r>
      <w:r>
        <w:rPr>
          <w:rFonts w:ascii="Times New Roman" w:hAnsi="Times New Roman"/>
        </w:rPr>
        <w:t>out</w:t>
      </w:r>
      <w:r w:rsidRPr="00874D51">
        <w:rPr>
          <w:rFonts w:ascii="Times New Roman" w:hAnsi="Times New Roman"/>
        </w:rPr>
        <w:t xml:space="preserve">performed the single-variable indicators (yield curve, credit spreads, and so on), </w:t>
      </w:r>
      <w:r>
        <w:rPr>
          <w:rFonts w:ascii="Times New Roman" w:hAnsi="Times New Roman"/>
        </w:rPr>
        <w:t>but some did not</w:t>
      </w:r>
      <w:r w:rsidRPr="00874D51">
        <w:rPr>
          <w:rFonts w:ascii="Times New Roman" w:hAnsi="Times New Roman"/>
        </w:rPr>
        <w:t xml:space="preserve"> outperform the stock market index. </w:t>
      </w:r>
    </w:p>
    <w:p w:rsidR="009210F9" w:rsidRPr="00874D51" w:rsidRDefault="009210F9" w:rsidP="009210F9">
      <w:pPr>
        <w:spacing w:line="276" w:lineRule="auto"/>
        <w:rPr>
          <w:rFonts w:ascii="Times New Roman" w:hAnsi="Times New Roman"/>
        </w:rPr>
      </w:pPr>
    </w:p>
    <w:p w:rsidR="009210F9" w:rsidRPr="00874D51" w:rsidRDefault="009210F9" w:rsidP="009210F9">
      <w:pPr>
        <w:spacing w:line="276" w:lineRule="auto"/>
        <w:rPr>
          <w:rFonts w:ascii="Times New Roman" w:hAnsi="Times New Roman"/>
        </w:rPr>
      </w:pPr>
      <w:r>
        <w:rPr>
          <w:rFonts w:ascii="Times New Roman" w:hAnsi="Times New Roman"/>
        </w:rPr>
        <w:t xml:space="preserve">We focused on improving the predictive capabilities of FCIs by: (1) expanding the data history; (2) expanding the data coverage; and (3) </w:t>
      </w:r>
      <w:r w:rsidRPr="00874D51">
        <w:rPr>
          <w:rFonts w:ascii="Times New Roman" w:hAnsi="Times New Roman"/>
        </w:rPr>
        <w:t>disentangl</w:t>
      </w:r>
      <w:r>
        <w:rPr>
          <w:rFonts w:ascii="Times New Roman" w:hAnsi="Times New Roman"/>
        </w:rPr>
        <w:t>ing</w:t>
      </w:r>
      <w:r w:rsidRPr="00874D51">
        <w:rPr>
          <w:rFonts w:ascii="Times New Roman" w:hAnsi="Times New Roman"/>
        </w:rPr>
        <w:t xml:space="preserve"> macroeconomic </w:t>
      </w:r>
      <w:r>
        <w:rPr>
          <w:rFonts w:ascii="Times New Roman" w:hAnsi="Times New Roman"/>
        </w:rPr>
        <w:t xml:space="preserve">and policy </w:t>
      </w:r>
      <w:r w:rsidRPr="00874D51">
        <w:rPr>
          <w:rFonts w:ascii="Times New Roman" w:hAnsi="Times New Roman"/>
        </w:rPr>
        <w:t xml:space="preserve">influences from pure financial shocks.  Accordingly, we developed and tested a new </w:t>
      </w:r>
      <w:r>
        <w:rPr>
          <w:rFonts w:ascii="Times New Roman" w:hAnsi="Times New Roman"/>
        </w:rPr>
        <w:t>FCI that addresses these matters</w:t>
      </w:r>
      <w:r w:rsidRPr="00874D51">
        <w:rPr>
          <w:rFonts w:ascii="Times New Roman" w:hAnsi="Times New Roman"/>
        </w:rPr>
        <w:t xml:space="preserve">.  </w:t>
      </w:r>
      <w:r>
        <w:rPr>
          <w:rFonts w:ascii="Times New Roman" w:hAnsi="Times New Roman"/>
        </w:rPr>
        <w:t xml:space="preserve">While our analysis was done at a quarterly frequency, it would be possible to construct a broad FCI at a monthly interval, using both monthly and quarterly data. </w:t>
      </w:r>
      <w:r w:rsidRPr="00874D51">
        <w:rPr>
          <w:rFonts w:ascii="Times New Roman" w:hAnsi="Times New Roman"/>
        </w:rPr>
        <w:t>One notable disadvantage of the new FCI is that its size and estimation make it more cumbersome to update and use.</w:t>
      </w:r>
      <w:r>
        <w:rPr>
          <w:rFonts w:ascii="Times New Roman" w:hAnsi="Times New Roman"/>
        </w:rPr>
        <w:t xml:space="preserve"> </w:t>
      </w:r>
    </w:p>
    <w:p w:rsidR="009210F9" w:rsidRPr="00874D51" w:rsidRDefault="009210F9" w:rsidP="009210F9">
      <w:pPr>
        <w:spacing w:line="276" w:lineRule="auto"/>
        <w:rPr>
          <w:rFonts w:ascii="Times New Roman" w:hAnsi="Times New Roman"/>
        </w:rPr>
      </w:pPr>
    </w:p>
    <w:p w:rsidR="009210F9" w:rsidRPr="00874D51" w:rsidRDefault="009210F9" w:rsidP="009210F9">
      <w:pPr>
        <w:spacing w:line="276" w:lineRule="auto"/>
        <w:rPr>
          <w:rFonts w:ascii="Times New Roman" w:hAnsi="Times New Roman"/>
        </w:rPr>
      </w:pPr>
      <w:r w:rsidRPr="00874D51">
        <w:rPr>
          <w:rFonts w:ascii="Times New Roman" w:hAnsi="Times New Roman"/>
        </w:rPr>
        <w:t>In forecasting tests, the new FCI outperform</w:t>
      </w:r>
      <w:r>
        <w:rPr>
          <w:rFonts w:ascii="Times New Roman" w:hAnsi="Times New Roman"/>
        </w:rPr>
        <w:t>ed</w:t>
      </w:r>
      <w:r w:rsidRPr="00874D51">
        <w:rPr>
          <w:rFonts w:ascii="Times New Roman" w:hAnsi="Times New Roman"/>
        </w:rPr>
        <w:t xml:space="preserve"> </w:t>
      </w:r>
      <w:r>
        <w:rPr>
          <w:rFonts w:ascii="Times New Roman" w:hAnsi="Times New Roman"/>
        </w:rPr>
        <w:t>a variety of alternative measures</w:t>
      </w:r>
      <w:r w:rsidRPr="00874D51">
        <w:rPr>
          <w:rFonts w:ascii="Times New Roman" w:hAnsi="Times New Roman"/>
        </w:rPr>
        <w:t xml:space="preserve"> in recent years, but not so during earlier periods.  In analyzing this performance, we found that both purging the FCI of macroeconomic influences and expanding coverage to a wide number and variety of variables contributed to its relatively better performance in recent years</w:t>
      </w:r>
      <w:r>
        <w:rPr>
          <w:rFonts w:ascii="Times New Roman" w:hAnsi="Times New Roman"/>
        </w:rPr>
        <w:t>. The exclusion of</w:t>
      </w:r>
      <w:r w:rsidRPr="00874D51">
        <w:rPr>
          <w:rFonts w:ascii="Times New Roman" w:hAnsi="Times New Roman"/>
        </w:rPr>
        <w:t xml:space="preserve"> macro</w:t>
      </w:r>
      <w:r>
        <w:rPr>
          <w:rFonts w:ascii="Times New Roman" w:hAnsi="Times New Roman"/>
        </w:rPr>
        <w:t>economic</w:t>
      </w:r>
      <w:r w:rsidRPr="00874D51">
        <w:rPr>
          <w:rFonts w:ascii="Times New Roman" w:hAnsi="Times New Roman"/>
        </w:rPr>
        <w:t xml:space="preserve"> influences </w:t>
      </w:r>
      <w:r>
        <w:rPr>
          <w:rFonts w:ascii="Times New Roman" w:hAnsi="Times New Roman"/>
        </w:rPr>
        <w:t>contributed to this improvement</w:t>
      </w:r>
      <w:r w:rsidRPr="00874D51">
        <w:rPr>
          <w:rFonts w:ascii="Times New Roman" w:hAnsi="Times New Roman"/>
        </w:rPr>
        <w:t xml:space="preserve"> somewhat more  than </w:t>
      </w:r>
      <w:r>
        <w:rPr>
          <w:rFonts w:ascii="Times New Roman" w:hAnsi="Times New Roman"/>
        </w:rPr>
        <w:t>the expansion of</w:t>
      </w:r>
      <w:r w:rsidRPr="00874D51">
        <w:rPr>
          <w:rFonts w:ascii="Times New Roman" w:hAnsi="Times New Roman"/>
        </w:rPr>
        <w:t xml:space="preserve"> coverage.  </w:t>
      </w:r>
      <w:r>
        <w:rPr>
          <w:rFonts w:ascii="Times New Roman" w:hAnsi="Times New Roman"/>
        </w:rPr>
        <w:t>T</w:t>
      </w:r>
      <w:r w:rsidRPr="00874D51">
        <w:rPr>
          <w:rFonts w:ascii="Times New Roman" w:hAnsi="Times New Roman"/>
        </w:rPr>
        <w:t xml:space="preserve">he overall index performed noticeably better in recent years than any of its major subcomponents (rates/spreads, asset prices, surveys, quantities, and so on). </w:t>
      </w:r>
    </w:p>
    <w:p w:rsidR="009210F9" w:rsidRPr="00874D51" w:rsidRDefault="009210F9" w:rsidP="009210F9">
      <w:pPr>
        <w:spacing w:line="276" w:lineRule="auto"/>
        <w:rPr>
          <w:rFonts w:ascii="Times New Roman" w:hAnsi="Times New Roman"/>
        </w:rPr>
      </w:pPr>
    </w:p>
    <w:p w:rsidR="009210F9" w:rsidRDefault="009210F9" w:rsidP="009210F9">
      <w:pPr>
        <w:spacing w:line="276" w:lineRule="auto"/>
        <w:rPr>
          <w:rFonts w:ascii="Times New Roman" w:hAnsi="Times New Roman"/>
          <w:b/>
        </w:rPr>
      </w:pPr>
      <w:r w:rsidRPr="00874D51">
        <w:rPr>
          <w:rFonts w:ascii="Times New Roman" w:hAnsi="Times New Roman"/>
        </w:rPr>
        <w:t xml:space="preserve">Our finding that the relative predictive performance of our new FCI was unstable over time </w:t>
      </w:r>
      <w:r>
        <w:rPr>
          <w:rFonts w:ascii="Times New Roman" w:hAnsi="Times New Roman"/>
        </w:rPr>
        <w:t>reconfirmed earlier findings of instability for an array of financial indicators</w:t>
      </w:r>
      <w:r w:rsidRPr="00874D51">
        <w:rPr>
          <w:rFonts w:ascii="Times New Roman" w:hAnsi="Times New Roman"/>
        </w:rPr>
        <w:t xml:space="preserve">.  Our index seemed to work especially well in times of unusual financial stress emanating from within asset markets. Purging our index of macroeconomic influences seemed to be most effective in improving its performance during these periods. </w:t>
      </w:r>
    </w:p>
    <w:p w:rsidR="009210F9" w:rsidRPr="00874D51" w:rsidRDefault="009210F9" w:rsidP="009210F9">
      <w:pPr>
        <w:spacing w:line="276" w:lineRule="auto"/>
        <w:rPr>
          <w:rFonts w:ascii="Times New Roman" w:hAnsi="Times New Roman"/>
        </w:rPr>
      </w:pPr>
    </w:p>
    <w:p w:rsidR="009210F9" w:rsidRPr="00874D51" w:rsidRDefault="009210F9" w:rsidP="009210F9">
      <w:pPr>
        <w:spacing w:line="276" w:lineRule="auto"/>
        <w:rPr>
          <w:rFonts w:ascii="Times New Roman" w:hAnsi="Times New Roman"/>
        </w:rPr>
      </w:pPr>
      <w:r w:rsidRPr="00874D51">
        <w:rPr>
          <w:rFonts w:ascii="Times New Roman" w:hAnsi="Times New Roman"/>
        </w:rPr>
        <w:t xml:space="preserve">Finally, given the nature of the recent financial and economic crisis, gauging the path of financial conditions overall as they bear on prospects for economic activity will be an especially important ingredient in the economic forecasts prepared for policymakers and investors alike.  </w:t>
      </w:r>
      <w:r>
        <w:rPr>
          <w:rFonts w:ascii="Times New Roman" w:hAnsi="Times New Roman"/>
        </w:rPr>
        <w:t xml:space="preserve">The estimated level of our FCI as of the end of 2009 pointed to credit conditions that remained somewhat tighter than the norm, implying a continuing, if modest, drag from overall financial conditions on economic growth during 2010. </w:t>
      </w:r>
    </w:p>
    <w:p w:rsidR="009210F9" w:rsidRPr="00874D51" w:rsidRDefault="009210F9" w:rsidP="009210F9">
      <w:pPr>
        <w:rPr>
          <w:rFonts w:ascii="Times New Roman" w:hAnsi="Times New Roman"/>
          <w:b/>
        </w:rPr>
      </w:pPr>
    </w:p>
    <w:p w:rsidR="009210F9" w:rsidRPr="002B7AAC" w:rsidRDefault="009210F9" w:rsidP="009210F9">
      <w:pPr>
        <w:jc w:val="center"/>
        <w:rPr>
          <w:rFonts w:ascii="Times New Roman" w:hAnsi="Times New Roman"/>
          <w:b/>
        </w:rPr>
      </w:pPr>
      <w:r w:rsidRPr="00A3299F">
        <w:rPr>
          <w:rFonts w:ascii="Times New Roman" w:hAnsi="Times New Roman"/>
          <w:b/>
        </w:rPr>
        <w:br w:type="page"/>
        <w:t>References</w:t>
      </w:r>
    </w:p>
    <w:p w:rsidR="009210F9" w:rsidRPr="002B7AAC" w:rsidRDefault="009210F9" w:rsidP="009210F9">
      <w:pPr>
        <w:rPr>
          <w:rFonts w:ascii="Times New Roman" w:hAnsi="Times New Roman"/>
          <w:b/>
        </w:rPr>
      </w:pPr>
    </w:p>
    <w:p w:rsidR="009210F9" w:rsidRPr="00874D51" w:rsidRDefault="009210F9" w:rsidP="009210F9">
      <w:pPr>
        <w:rPr>
          <w:rFonts w:ascii="Times New Roman" w:hAnsi="Times New Roman"/>
          <w:bCs/>
        </w:rPr>
      </w:pPr>
      <w:r w:rsidRPr="00A3299F">
        <w:rPr>
          <w:rFonts w:ascii="Times New Roman" w:hAnsi="Times New Roman"/>
          <w:bCs/>
        </w:rPr>
        <w:t>Ando, A., and F. Modligliani (1963), “</w:t>
      </w:r>
      <w:r w:rsidRPr="00874D51">
        <w:rPr>
          <w:rFonts w:ascii="Times New Roman" w:hAnsi="Times New Roman"/>
          <w:bCs/>
        </w:rPr>
        <w:t>The Life-Cycle Hypothesis of Saving: Aggregate Implications and Tests</w:t>
      </w:r>
      <w:r>
        <w:rPr>
          <w:rFonts w:ascii="Times New Roman" w:hAnsi="Times New Roman"/>
          <w:bCs/>
        </w:rPr>
        <w:t>,”</w:t>
      </w:r>
      <w:r w:rsidRPr="00874D51">
        <w:rPr>
          <w:rFonts w:ascii="Times New Roman" w:hAnsi="Times New Roman"/>
          <w:bCs/>
        </w:rPr>
        <w:t xml:space="preserve"> </w:t>
      </w:r>
      <w:r w:rsidRPr="000E0F79">
        <w:rPr>
          <w:rFonts w:ascii="Times New Roman" w:hAnsi="Times New Roman"/>
          <w:bCs/>
          <w:i/>
        </w:rPr>
        <w:t>American Economic Review</w:t>
      </w:r>
      <w:r w:rsidRPr="00874D51">
        <w:rPr>
          <w:rFonts w:ascii="Times New Roman" w:hAnsi="Times New Roman"/>
          <w:bCs/>
        </w:rPr>
        <w:t xml:space="preserve"> 53, 55-84.</w:t>
      </w:r>
    </w:p>
    <w:p w:rsidR="009210F9" w:rsidRPr="00874D51" w:rsidRDefault="009210F9" w:rsidP="009210F9">
      <w:pPr>
        <w:rPr>
          <w:rFonts w:ascii="Times New Roman" w:hAnsi="Times New Roman"/>
          <w:bCs/>
        </w:rPr>
      </w:pPr>
    </w:p>
    <w:p w:rsidR="009210F9" w:rsidRDefault="009210F9" w:rsidP="009210F9">
      <w:pPr>
        <w:rPr>
          <w:rFonts w:ascii="Times New Roman" w:eastAsia="MS Mincho" w:hAnsi="Times New Roman"/>
        </w:rPr>
      </w:pPr>
      <w:r w:rsidRPr="00874D51">
        <w:rPr>
          <w:rFonts w:ascii="Times New Roman" w:eastAsia="MS Mincho" w:hAnsi="Times New Roman"/>
        </w:rPr>
        <w:t xml:space="preserve">Bai, J., and S. Ng (2002), “Determining the Number of Factors in Approximate Factor Models,” </w:t>
      </w:r>
      <w:r w:rsidRPr="00874D51">
        <w:rPr>
          <w:rFonts w:ascii="Times New Roman" w:eastAsia="MS Mincho" w:hAnsi="Times New Roman"/>
          <w:i/>
          <w:iCs/>
        </w:rPr>
        <w:t>Econometrica</w:t>
      </w:r>
      <w:r w:rsidRPr="00874D51">
        <w:rPr>
          <w:rFonts w:ascii="Times New Roman" w:eastAsia="MS Mincho" w:hAnsi="Times New Roman"/>
        </w:rPr>
        <w:t>, 70, 191-221.</w:t>
      </w:r>
    </w:p>
    <w:p w:rsidR="009210F9" w:rsidRDefault="009210F9" w:rsidP="009210F9">
      <w:pPr>
        <w:rPr>
          <w:rFonts w:ascii="Times New Roman" w:eastAsia="MS Mincho" w:hAnsi="Times New Roman"/>
        </w:rPr>
      </w:pPr>
    </w:p>
    <w:p w:rsidR="009210F9" w:rsidRPr="00874D51" w:rsidRDefault="009210F9" w:rsidP="009210F9">
      <w:pPr>
        <w:rPr>
          <w:rStyle w:val="cmr-8"/>
        </w:rPr>
      </w:pPr>
      <w:r>
        <w:rPr>
          <w:rFonts w:ascii="Times New Roman" w:eastAsia="MS Mincho" w:hAnsi="Times New Roman"/>
        </w:rPr>
        <w:t>__________ (2008)</w:t>
      </w:r>
      <w:r w:rsidRPr="00874D51">
        <w:rPr>
          <w:rFonts w:ascii="Times New Roman" w:eastAsia="MS Mincho" w:hAnsi="Times New Roman"/>
        </w:rPr>
        <w:t>,</w:t>
      </w:r>
      <w:r w:rsidRPr="00874D51">
        <w:rPr>
          <w:rStyle w:val="cmr-8"/>
          <w:rFonts w:ascii="Times New Roman" w:hAnsi="Times New Roman"/>
          <w:b/>
        </w:rPr>
        <w:t xml:space="preserve"> “</w:t>
      </w:r>
      <w:r w:rsidRPr="00874D51">
        <w:rPr>
          <w:rStyle w:val="cmr-8"/>
          <w:rFonts w:ascii="Times New Roman" w:hAnsi="Times New Roman"/>
        </w:rPr>
        <w:t xml:space="preserve">Large Dimensional Factor Analysis,” </w:t>
      </w:r>
      <w:r w:rsidRPr="00874D51">
        <w:rPr>
          <w:rStyle w:val="cmr-8"/>
          <w:rFonts w:ascii="Times New Roman" w:hAnsi="Times New Roman"/>
          <w:i/>
          <w:iCs/>
        </w:rPr>
        <w:t>Foundations and Trends in Econometrics</w:t>
      </w:r>
      <w:r w:rsidRPr="00874D51">
        <w:rPr>
          <w:rStyle w:val="cmr-8"/>
          <w:rFonts w:ascii="Times New Roman" w:hAnsi="Times New Roman"/>
        </w:rPr>
        <w:t>, 3(2): 89-163.</w:t>
      </w:r>
    </w:p>
    <w:p w:rsidR="009210F9" w:rsidRPr="00874D51" w:rsidRDefault="009210F9" w:rsidP="009210F9">
      <w:pPr>
        <w:rPr>
          <w:rFonts w:ascii="Times New Roman" w:hAnsi="Times New Roman"/>
          <w:bCs/>
        </w:rPr>
      </w:pPr>
    </w:p>
    <w:p w:rsidR="009210F9" w:rsidRDefault="009210F9" w:rsidP="009210F9">
      <w:pPr>
        <w:rPr>
          <w:rFonts w:ascii="Times New Roman" w:hAnsi="Times New Roman"/>
          <w:bCs/>
        </w:rPr>
      </w:pPr>
      <w:r w:rsidRPr="00874D51">
        <w:rPr>
          <w:rFonts w:ascii="Times New Roman" w:hAnsi="Times New Roman"/>
          <w:bCs/>
        </w:rPr>
        <w:t xml:space="preserve">Beaton, K., </w:t>
      </w:r>
      <w:r>
        <w:rPr>
          <w:rFonts w:ascii="Times New Roman" w:hAnsi="Times New Roman"/>
          <w:bCs/>
        </w:rPr>
        <w:t xml:space="preserve">R. </w:t>
      </w:r>
      <w:r w:rsidRPr="00874D51">
        <w:rPr>
          <w:rFonts w:ascii="Times New Roman" w:hAnsi="Times New Roman"/>
          <w:bCs/>
        </w:rPr>
        <w:t xml:space="preserve">Lalonde, </w:t>
      </w:r>
      <w:r>
        <w:rPr>
          <w:rFonts w:ascii="Times New Roman" w:hAnsi="Times New Roman"/>
          <w:bCs/>
        </w:rPr>
        <w:t>and C.</w:t>
      </w:r>
      <w:r w:rsidRPr="00874D51">
        <w:rPr>
          <w:rFonts w:ascii="Times New Roman" w:hAnsi="Times New Roman"/>
          <w:bCs/>
        </w:rPr>
        <w:t xml:space="preserve"> Luu (2009)</w:t>
      </w:r>
      <w:r>
        <w:rPr>
          <w:rFonts w:ascii="Times New Roman" w:hAnsi="Times New Roman"/>
          <w:bCs/>
        </w:rPr>
        <w:t>,</w:t>
      </w:r>
      <w:r w:rsidRPr="00874D51">
        <w:rPr>
          <w:rFonts w:ascii="Times New Roman" w:hAnsi="Times New Roman"/>
          <w:bCs/>
        </w:rPr>
        <w:t xml:space="preserve"> </w:t>
      </w:r>
      <w:r>
        <w:rPr>
          <w:rFonts w:ascii="Times New Roman" w:hAnsi="Times New Roman"/>
          <w:bCs/>
        </w:rPr>
        <w:t>“</w:t>
      </w:r>
      <w:r w:rsidRPr="00874D51">
        <w:rPr>
          <w:rFonts w:ascii="Times New Roman" w:hAnsi="Times New Roman"/>
          <w:bCs/>
        </w:rPr>
        <w:t>A Financial Conditions Index for the United States</w:t>
      </w:r>
      <w:r>
        <w:rPr>
          <w:rFonts w:ascii="Times New Roman" w:hAnsi="Times New Roman"/>
          <w:bCs/>
        </w:rPr>
        <w:t>,”</w:t>
      </w:r>
      <w:r w:rsidRPr="00874D51">
        <w:rPr>
          <w:rFonts w:ascii="Times New Roman" w:hAnsi="Times New Roman"/>
          <w:bCs/>
        </w:rPr>
        <w:t xml:space="preserve"> Bank of Canada Discussion Paper</w:t>
      </w:r>
      <w:r>
        <w:rPr>
          <w:rFonts w:ascii="Times New Roman" w:hAnsi="Times New Roman"/>
          <w:bCs/>
        </w:rPr>
        <w:t>, November.</w:t>
      </w:r>
    </w:p>
    <w:p w:rsidR="009210F9" w:rsidRDefault="009210F9" w:rsidP="009210F9">
      <w:pPr>
        <w:rPr>
          <w:rFonts w:ascii="Times New Roman" w:hAnsi="Times New Roman"/>
          <w:bCs/>
        </w:rPr>
      </w:pPr>
    </w:p>
    <w:p w:rsidR="009210F9" w:rsidRPr="00874D51" w:rsidRDefault="009210F9" w:rsidP="009210F9">
      <w:pPr>
        <w:rPr>
          <w:rFonts w:ascii="Times New Roman" w:hAnsi="Times New Roman"/>
          <w:bCs/>
        </w:rPr>
      </w:pPr>
      <w:r>
        <w:rPr>
          <w:rFonts w:ascii="Times New Roman" w:hAnsi="Times New Roman"/>
          <w:bCs/>
        </w:rPr>
        <w:t xml:space="preserve">Bernanke, B. (1990), “On the Predictive Power of Interest Rates and Interest Rate Spreads,” </w:t>
      </w:r>
      <w:r w:rsidRPr="00CD186A">
        <w:rPr>
          <w:rFonts w:ascii="Times New Roman" w:hAnsi="Times New Roman"/>
          <w:bCs/>
          <w:i/>
        </w:rPr>
        <w:t>New England Economic Review</w:t>
      </w:r>
      <w:r>
        <w:rPr>
          <w:rFonts w:ascii="Times New Roman" w:hAnsi="Times New Roman"/>
          <w:bCs/>
        </w:rPr>
        <w:t>, November, pages 51-68.</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rPr>
      </w:pPr>
      <w:r w:rsidRPr="00874D51">
        <w:rPr>
          <w:rFonts w:ascii="Times New Roman" w:hAnsi="Times New Roman"/>
        </w:rPr>
        <w:t xml:space="preserve">Bernanke, B.S., J. Boivin, and P. Eliasz (2005), “Measuring the Effects of Monetary Policy: A Factor-Augmented Vector Autoregressive (FAVAR) Approach,” </w:t>
      </w:r>
      <w:r w:rsidRPr="00874D51">
        <w:rPr>
          <w:rFonts w:ascii="Times New Roman" w:hAnsi="Times New Roman"/>
          <w:i/>
          <w:iCs/>
        </w:rPr>
        <w:t>Quarterly Journal of Economics</w:t>
      </w:r>
      <w:r w:rsidRPr="00874D51">
        <w:rPr>
          <w:rFonts w:ascii="Times New Roman" w:hAnsi="Times New Roman"/>
        </w:rPr>
        <w:t>, 120, 387-422.</w:t>
      </w:r>
    </w:p>
    <w:p w:rsidR="009210F9" w:rsidRPr="00874D51" w:rsidRDefault="009210F9" w:rsidP="009210F9">
      <w:pPr>
        <w:pStyle w:val="PlainText"/>
        <w:spacing w:line="276" w:lineRule="auto"/>
        <w:rPr>
          <w:rFonts w:ascii="Times New Roman" w:hAnsi="Times New Roman"/>
          <w:sz w:val="24"/>
          <w:szCs w:val="24"/>
        </w:rPr>
      </w:pPr>
    </w:p>
    <w:p w:rsidR="009210F9" w:rsidRPr="00874D51" w:rsidRDefault="009210F9" w:rsidP="009210F9">
      <w:pPr>
        <w:rPr>
          <w:rFonts w:ascii="Times New Roman" w:hAnsi="Times New Roman"/>
        </w:rPr>
      </w:pPr>
      <w:r w:rsidRPr="00874D51">
        <w:rPr>
          <w:rFonts w:ascii="Times New Roman" w:hAnsi="Times New Roman"/>
        </w:rPr>
        <w:t>Boivin, J., and M. Giannoni (2006), “DSGE Models in a Data-Rich Environment,” NBER Working Paper no. 12772, December.</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rPr>
        <w:t xml:space="preserve">Boivin, </w:t>
      </w:r>
      <w:r>
        <w:rPr>
          <w:rFonts w:ascii="Times New Roman" w:hAnsi="Times New Roman"/>
        </w:rPr>
        <w:t xml:space="preserve">J., </w:t>
      </w:r>
      <w:r w:rsidRPr="00874D51">
        <w:rPr>
          <w:rFonts w:ascii="Times New Roman" w:hAnsi="Times New Roman"/>
        </w:rPr>
        <w:t xml:space="preserve">M. Kiley, and F. Mishkin (2009), “How Has the Monetary Transmission Mechanism Evolved Over Time?” prepared for the third </w:t>
      </w:r>
      <w:r w:rsidRPr="00874D51">
        <w:rPr>
          <w:rFonts w:ascii="Times New Roman" w:hAnsi="Times New Roman"/>
          <w:i/>
        </w:rPr>
        <w:t>Handbook of Monetary Economics</w:t>
      </w:r>
      <w:r w:rsidRPr="00874D51">
        <w:rPr>
          <w:rFonts w:ascii="Times New Roman" w:hAnsi="Times New Roman"/>
        </w:rPr>
        <w:t>; presented at the Federal Reserve Conference on Key Developments in Monetary Policy, October 9, 2009.</w:t>
      </w:r>
    </w:p>
    <w:p w:rsidR="009210F9" w:rsidRDefault="009210F9" w:rsidP="009210F9">
      <w:pPr>
        <w:rPr>
          <w:rFonts w:ascii="Times New Roman" w:hAnsi="Times New Roman"/>
          <w:bCs/>
        </w:rPr>
      </w:pPr>
    </w:p>
    <w:p w:rsidR="009210F9" w:rsidRDefault="009210F9" w:rsidP="009210F9">
      <w:pPr>
        <w:rPr>
          <w:rFonts w:ascii="Times New Roman" w:hAnsi="Times New Roman"/>
          <w:bCs/>
        </w:rPr>
      </w:pPr>
      <w:r>
        <w:rPr>
          <w:rFonts w:ascii="Times New Roman" w:hAnsi="Times New Roman"/>
          <w:bCs/>
        </w:rPr>
        <w:t>Brunnermeier, M. and Y. Sannikov (2009), “A Macroeconomic Model with a Financial Sector,” working paper.</w:t>
      </w:r>
    </w:p>
    <w:p w:rsidR="009210F9" w:rsidRDefault="009210F9" w:rsidP="009210F9">
      <w:pPr>
        <w:rPr>
          <w:rFonts w:ascii="Times New Roman" w:hAnsi="Times New Roman"/>
          <w:bCs/>
        </w:rPr>
      </w:pPr>
    </w:p>
    <w:p w:rsidR="009210F9" w:rsidRPr="00E56F36" w:rsidRDefault="009210F9" w:rsidP="009210F9">
      <w:pPr>
        <w:rPr>
          <w:rFonts w:ascii="Times New Roman" w:hAnsi="Times New Roman"/>
          <w:bCs/>
        </w:rPr>
      </w:pPr>
      <w:r>
        <w:rPr>
          <w:rFonts w:ascii="Times New Roman" w:hAnsi="Times New Roman"/>
          <w:bCs/>
        </w:rPr>
        <w:t xml:space="preserve">Christiano, L.J., M. Eichenbaum, and C.L. Evans (1999), “Monetary Policy Shocks: What Have We Learned and to What End?”, in J.B. Taylor and M. Woodford (eds), </w:t>
      </w:r>
      <w:r>
        <w:rPr>
          <w:rFonts w:ascii="Times New Roman" w:hAnsi="Times New Roman"/>
          <w:bCs/>
          <w:i/>
        </w:rPr>
        <w:t>Handbook of Macroeconomics</w:t>
      </w:r>
      <w:r>
        <w:rPr>
          <w:rFonts w:ascii="Times New Roman" w:hAnsi="Times New Roman"/>
          <w:bCs/>
        </w:rPr>
        <w:t>, Vol. 1A, Amsterdam: Elsevier.</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 xml:space="preserve">D’Antonio, P., Appendix, pages 26-28, in DiClemente, R. and </w:t>
      </w:r>
      <w:r>
        <w:rPr>
          <w:rFonts w:ascii="Times New Roman" w:hAnsi="Times New Roman"/>
          <w:bCs/>
        </w:rPr>
        <w:t xml:space="preserve">K. </w:t>
      </w:r>
      <w:r w:rsidRPr="00874D51">
        <w:rPr>
          <w:rFonts w:ascii="Times New Roman" w:hAnsi="Times New Roman"/>
          <w:bCs/>
        </w:rPr>
        <w:t xml:space="preserve">Schoenholtz (September 26, 2008), </w:t>
      </w:r>
      <w:r>
        <w:rPr>
          <w:rFonts w:ascii="Times New Roman" w:hAnsi="Times New Roman"/>
          <w:bCs/>
        </w:rPr>
        <w:t>“</w:t>
      </w:r>
      <w:r w:rsidRPr="00874D51">
        <w:rPr>
          <w:rFonts w:ascii="Times New Roman" w:hAnsi="Times New Roman"/>
          <w:bCs/>
        </w:rPr>
        <w:t>A View of the U.S. Subprime Crisis,</w:t>
      </w:r>
      <w:r>
        <w:rPr>
          <w:rFonts w:ascii="Times New Roman" w:hAnsi="Times New Roman"/>
          <w:bCs/>
        </w:rPr>
        <w:t>”</w:t>
      </w:r>
      <w:r w:rsidRPr="00874D51">
        <w:rPr>
          <w:rFonts w:ascii="Times New Roman" w:hAnsi="Times New Roman"/>
          <w:bCs/>
        </w:rPr>
        <w:t xml:space="preserve"> EMA Special Report, Citigroup Global Markets Inc.</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A3299F">
        <w:rPr>
          <w:rFonts w:ascii="Times New Roman" w:hAnsi="Times New Roman"/>
          <w:bCs/>
        </w:rPr>
        <w:t xml:space="preserve">Dudley, W., and J. Hatzius (June 8, 2000). </w:t>
      </w:r>
      <w:r w:rsidRPr="00874D51">
        <w:rPr>
          <w:rFonts w:ascii="Times New Roman" w:hAnsi="Times New Roman"/>
          <w:bCs/>
        </w:rPr>
        <w:t>The Goldman Sachs Financial Conditions Index: The Right Tool for a New Monetary Policy Regime. Global Economics Paper No. 44.</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 xml:space="preserve">Dudley, W., </w:t>
      </w:r>
      <w:r>
        <w:rPr>
          <w:rFonts w:ascii="Times New Roman" w:hAnsi="Times New Roman"/>
          <w:bCs/>
        </w:rPr>
        <w:t xml:space="preserve">J. </w:t>
      </w:r>
      <w:r w:rsidRPr="00874D51">
        <w:rPr>
          <w:rFonts w:ascii="Times New Roman" w:hAnsi="Times New Roman"/>
          <w:bCs/>
        </w:rPr>
        <w:t xml:space="preserve">Hatzius, </w:t>
      </w:r>
      <w:r>
        <w:rPr>
          <w:rFonts w:ascii="Times New Roman" w:hAnsi="Times New Roman"/>
          <w:bCs/>
        </w:rPr>
        <w:t>and E.</w:t>
      </w:r>
      <w:r w:rsidRPr="00874D51">
        <w:rPr>
          <w:rFonts w:ascii="Times New Roman" w:hAnsi="Times New Roman"/>
          <w:bCs/>
        </w:rPr>
        <w:t xml:space="preserve"> McKelvey (April 8, 2005). Financial Conditions Need to Tighten Further. US Economics Analyst, Goldman Sachs Economic Research.</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rPr>
      </w:pPr>
      <w:r w:rsidRPr="00874D51">
        <w:rPr>
          <w:rFonts w:ascii="Times New Roman" w:hAnsi="Times New Roman"/>
        </w:rPr>
        <w:t>Eickmeier, S.</w:t>
      </w:r>
      <w:r>
        <w:rPr>
          <w:rFonts w:ascii="Times New Roman" w:hAnsi="Times New Roman"/>
        </w:rPr>
        <w:t xml:space="preserve"> and </w:t>
      </w:r>
      <w:r w:rsidRPr="00874D51">
        <w:rPr>
          <w:rFonts w:ascii="Times New Roman" w:hAnsi="Times New Roman"/>
        </w:rPr>
        <w:t xml:space="preserve">C. Ziegler (2008), “How successful are dynamic factor models at forecasting output and inflation? A meta-analytic approach,” </w:t>
      </w:r>
      <w:r w:rsidRPr="00874D51">
        <w:rPr>
          <w:rStyle w:val="Emphasis"/>
          <w:rFonts w:ascii="Times New Roman" w:hAnsi="Times New Roman"/>
        </w:rPr>
        <w:t>Journal of Forecasting</w:t>
      </w:r>
      <w:r w:rsidRPr="00874D51">
        <w:rPr>
          <w:rFonts w:ascii="Times New Roman" w:hAnsi="Times New Roman"/>
        </w:rPr>
        <w:t xml:space="preserve">, 27(3), 237-265. </w:t>
      </w:r>
    </w:p>
    <w:p w:rsidR="009210F9" w:rsidRPr="00874D51" w:rsidRDefault="009210F9" w:rsidP="009210F9">
      <w:pPr>
        <w:rPr>
          <w:rFonts w:ascii="Times New Roman" w:hAnsi="Times New Roman"/>
          <w:bCs/>
        </w:rPr>
      </w:pPr>
    </w:p>
    <w:p w:rsidR="009210F9" w:rsidRPr="00874D51" w:rsidRDefault="009210F9" w:rsidP="009210F9">
      <w:pPr>
        <w:jc w:val="both"/>
        <w:rPr>
          <w:rFonts w:ascii="Times New Roman" w:hAnsi="Times New Roman"/>
          <w:bCs/>
        </w:rPr>
      </w:pPr>
      <w:r w:rsidRPr="00874D51">
        <w:rPr>
          <w:rFonts w:ascii="Times New Roman" w:hAnsi="Times New Roman"/>
          <w:bCs/>
        </w:rPr>
        <w:t xml:space="preserve">English, </w:t>
      </w:r>
      <w:r>
        <w:rPr>
          <w:rFonts w:ascii="Times New Roman" w:hAnsi="Times New Roman"/>
          <w:bCs/>
        </w:rPr>
        <w:t xml:space="preserve">W., </w:t>
      </w:r>
      <w:r w:rsidRPr="00874D51">
        <w:rPr>
          <w:rFonts w:ascii="Times New Roman" w:hAnsi="Times New Roman"/>
          <w:bCs/>
        </w:rPr>
        <w:t>K</w:t>
      </w:r>
      <w:r>
        <w:rPr>
          <w:rFonts w:ascii="Times New Roman" w:hAnsi="Times New Roman"/>
          <w:bCs/>
        </w:rPr>
        <w:t>.</w:t>
      </w:r>
      <w:r w:rsidRPr="00874D51">
        <w:rPr>
          <w:rFonts w:ascii="Times New Roman" w:hAnsi="Times New Roman"/>
          <w:bCs/>
        </w:rPr>
        <w:t xml:space="preserve"> Tsatsaronis and E</w:t>
      </w:r>
      <w:r>
        <w:rPr>
          <w:rFonts w:ascii="Times New Roman" w:hAnsi="Times New Roman"/>
          <w:bCs/>
        </w:rPr>
        <w:t>.</w:t>
      </w:r>
      <w:r w:rsidRPr="00874D51">
        <w:rPr>
          <w:rFonts w:ascii="Times New Roman" w:hAnsi="Times New Roman"/>
          <w:bCs/>
        </w:rPr>
        <w:t xml:space="preserve"> Zoli (2005), "Assessing the</w:t>
      </w:r>
      <w:r>
        <w:rPr>
          <w:rFonts w:ascii="Times New Roman" w:hAnsi="Times New Roman"/>
          <w:bCs/>
        </w:rPr>
        <w:t xml:space="preserve"> </w:t>
      </w:r>
      <w:r w:rsidRPr="00874D51">
        <w:rPr>
          <w:rFonts w:ascii="Times New Roman" w:hAnsi="Times New Roman"/>
          <w:bCs/>
        </w:rPr>
        <w:t>predictive power of measures of financial conditions for macroeconomic</w:t>
      </w:r>
      <w:r>
        <w:rPr>
          <w:rFonts w:ascii="Times New Roman" w:hAnsi="Times New Roman"/>
          <w:bCs/>
        </w:rPr>
        <w:t xml:space="preserve"> </w:t>
      </w:r>
      <w:r w:rsidRPr="00874D51">
        <w:rPr>
          <w:rFonts w:ascii="Times New Roman" w:hAnsi="Times New Roman"/>
          <w:bCs/>
        </w:rPr>
        <w:t>variables," published in "Investigating the relationship between the financial and the real  economy" (BIS Papers No 22, April 2005).</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 xml:space="preserve">Estrella, A., </w:t>
      </w:r>
      <w:r>
        <w:rPr>
          <w:rFonts w:ascii="Times New Roman" w:hAnsi="Times New Roman"/>
          <w:bCs/>
        </w:rPr>
        <w:t>and</w:t>
      </w:r>
      <w:r w:rsidRPr="00874D51">
        <w:rPr>
          <w:rFonts w:ascii="Times New Roman" w:hAnsi="Times New Roman"/>
          <w:bCs/>
        </w:rPr>
        <w:t xml:space="preserve"> </w:t>
      </w:r>
      <w:r>
        <w:rPr>
          <w:rFonts w:ascii="Times New Roman" w:hAnsi="Times New Roman"/>
          <w:bCs/>
        </w:rPr>
        <w:t xml:space="preserve">G. </w:t>
      </w:r>
      <w:r w:rsidRPr="00874D51">
        <w:rPr>
          <w:rFonts w:ascii="Times New Roman" w:hAnsi="Times New Roman"/>
          <w:bCs/>
        </w:rPr>
        <w:t>Hardouvelis (1991)</w:t>
      </w:r>
      <w:r>
        <w:rPr>
          <w:rFonts w:ascii="Times New Roman" w:hAnsi="Times New Roman"/>
          <w:bCs/>
        </w:rPr>
        <w:t>,</w:t>
      </w:r>
      <w:r w:rsidRPr="00874D51">
        <w:rPr>
          <w:rFonts w:ascii="Times New Roman" w:hAnsi="Times New Roman"/>
          <w:bCs/>
        </w:rPr>
        <w:t xml:space="preserve"> </w:t>
      </w:r>
      <w:r>
        <w:rPr>
          <w:rFonts w:ascii="Times New Roman" w:hAnsi="Times New Roman"/>
          <w:bCs/>
        </w:rPr>
        <w:t>“</w:t>
      </w:r>
      <w:r w:rsidRPr="00874D51">
        <w:rPr>
          <w:rFonts w:ascii="Times New Roman" w:hAnsi="Times New Roman"/>
          <w:bCs/>
        </w:rPr>
        <w:t>The term structure as a predictor of real economic activity</w:t>
      </w:r>
      <w:r>
        <w:rPr>
          <w:rFonts w:ascii="Times New Roman" w:hAnsi="Times New Roman"/>
          <w:bCs/>
        </w:rPr>
        <w:t>,”</w:t>
      </w:r>
      <w:r w:rsidRPr="00874D51">
        <w:rPr>
          <w:rFonts w:ascii="Times New Roman" w:hAnsi="Times New Roman"/>
          <w:bCs/>
        </w:rPr>
        <w:t xml:space="preserve"> </w:t>
      </w:r>
      <w:r w:rsidRPr="00C73A61">
        <w:rPr>
          <w:rFonts w:ascii="Times New Roman" w:hAnsi="Times New Roman"/>
          <w:bCs/>
          <w:i/>
        </w:rPr>
        <w:t>Journal of Finance</w:t>
      </w:r>
      <w:r w:rsidRPr="00874D51">
        <w:rPr>
          <w:rFonts w:ascii="Times New Roman" w:hAnsi="Times New Roman"/>
          <w:bCs/>
        </w:rPr>
        <w:t xml:space="preserve"> 46, 555-576.</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 xml:space="preserve">Estrella, A., </w:t>
      </w:r>
      <w:r>
        <w:rPr>
          <w:rFonts w:ascii="Times New Roman" w:hAnsi="Times New Roman"/>
          <w:bCs/>
        </w:rPr>
        <w:t>and</w:t>
      </w:r>
      <w:r w:rsidRPr="00874D51">
        <w:rPr>
          <w:rFonts w:ascii="Times New Roman" w:hAnsi="Times New Roman"/>
          <w:bCs/>
        </w:rPr>
        <w:t xml:space="preserve"> </w:t>
      </w:r>
      <w:r>
        <w:rPr>
          <w:rFonts w:ascii="Times New Roman" w:hAnsi="Times New Roman"/>
          <w:bCs/>
        </w:rPr>
        <w:t xml:space="preserve">F, </w:t>
      </w:r>
      <w:r w:rsidRPr="00874D51">
        <w:rPr>
          <w:rFonts w:ascii="Times New Roman" w:hAnsi="Times New Roman"/>
          <w:bCs/>
        </w:rPr>
        <w:t>Mishkin</w:t>
      </w:r>
      <w:r>
        <w:rPr>
          <w:rFonts w:ascii="Times New Roman" w:hAnsi="Times New Roman"/>
          <w:bCs/>
        </w:rPr>
        <w:t xml:space="preserve"> </w:t>
      </w:r>
      <w:r w:rsidRPr="00874D51">
        <w:rPr>
          <w:rFonts w:ascii="Times New Roman" w:hAnsi="Times New Roman"/>
          <w:bCs/>
        </w:rPr>
        <w:t>(1998)</w:t>
      </w:r>
      <w:r>
        <w:rPr>
          <w:rFonts w:ascii="Times New Roman" w:hAnsi="Times New Roman"/>
          <w:bCs/>
        </w:rPr>
        <w:t>,</w:t>
      </w:r>
      <w:r w:rsidRPr="00874D51">
        <w:rPr>
          <w:rFonts w:ascii="Times New Roman" w:hAnsi="Times New Roman"/>
          <w:bCs/>
        </w:rPr>
        <w:t xml:space="preserve"> </w:t>
      </w:r>
      <w:r>
        <w:rPr>
          <w:rFonts w:ascii="Times New Roman" w:hAnsi="Times New Roman"/>
          <w:bCs/>
        </w:rPr>
        <w:t>“</w:t>
      </w:r>
      <w:r w:rsidRPr="00874D51">
        <w:rPr>
          <w:rFonts w:ascii="Times New Roman" w:hAnsi="Times New Roman"/>
          <w:bCs/>
        </w:rPr>
        <w:t>Predicting U.S. Recessions: Financial Variables as Leading Indicators</w:t>
      </w:r>
      <w:r>
        <w:rPr>
          <w:rFonts w:ascii="Times New Roman" w:hAnsi="Times New Roman"/>
          <w:bCs/>
        </w:rPr>
        <w:t>,”</w:t>
      </w:r>
      <w:r w:rsidRPr="00874D51">
        <w:rPr>
          <w:rFonts w:ascii="Times New Roman" w:hAnsi="Times New Roman"/>
          <w:bCs/>
        </w:rPr>
        <w:t xml:space="preserve"> </w:t>
      </w:r>
      <w:r w:rsidRPr="00CF7F95">
        <w:rPr>
          <w:rFonts w:ascii="Times New Roman" w:hAnsi="Times New Roman"/>
          <w:bCs/>
          <w:i/>
        </w:rPr>
        <w:t>Review of Economics and Statistics</w:t>
      </w:r>
      <w:r w:rsidRPr="00874D51">
        <w:rPr>
          <w:rFonts w:ascii="Times New Roman" w:hAnsi="Times New Roman"/>
          <w:bCs/>
        </w:rPr>
        <w:t xml:space="preserve"> 80, 45-61.</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 xml:space="preserve">Freedman, C. (1994). The use of indicators and of the monetary conditions index in Canada. In Balino, T.J.T. and Cottarelli, C. (eds), Frameworks for Monetary Stability: Policy Issues and Country Experiences, IMF, Washington, D.C. </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rPr>
      </w:pPr>
      <w:r w:rsidRPr="00874D51">
        <w:rPr>
          <w:rFonts w:ascii="Times New Roman" w:hAnsi="Times New Roman"/>
        </w:rPr>
        <w:t>Gertler, M</w:t>
      </w:r>
      <w:r>
        <w:rPr>
          <w:rFonts w:ascii="Times New Roman" w:hAnsi="Times New Roman"/>
        </w:rPr>
        <w:t>.</w:t>
      </w:r>
      <w:r w:rsidRPr="00874D51">
        <w:rPr>
          <w:rFonts w:ascii="Times New Roman" w:hAnsi="Times New Roman"/>
        </w:rPr>
        <w:t>and N</w:t>
      </w:r>
      <w:r>
        <w:rPr>
          <w:rFonts w:ascii="Times New Roman" w:hAnsi="Times New Roman"/>
        </w:rPr>
        <w:t>.</w:t>
      </w:r>
      <w:r w:rsidRPr="00874D51">
        <w:rPr>
          <w:rFonts w:ascii="Times New Roman" w:hAnsi="Times New Roman"/>
        </w:rPr>
        <w:t xml:space="preserve"> Kiyotaki (2009), “Financial Intermediation and Credit Policy in Business Cycle Analysis,” prepared for the third </w:t>
      </w:r>
      <w:r w:rsidRPr="00874D51">
        <w:rPr>
          <w:rFonts w:ascii="Times New Roman" w:hAnsi="Times New Roman"/>
          <w:i/>
        </w:rPr>
        <w:t>Handbook of Monetary Economics</w:t>
      </w:r>
      <w:r w:rsidRPr="00874D51">
        <w:rPr>
          <w:rFonts w:ascii="Times New Roman" w:hAnsi="Times New Roman"/>
        </w:rPr>
        <w:t>; presented at the Federal Reserve Conference on Key Developments in Monetary Policy, October 9, 2009.</w:t>
      </w:r>
    </w:p>
    <w:p w:rsidR="009210F9" w:rsidRPr="00874D51" w:rsidRDefault="009210F9" w:rsidP="009210F9">
      <w:pPr>
        <w:rPr>
          <w:rFonts w:ascii="Times New Roman" w:hAnsi="Times New Roman"/>
        </w:rPr>
      </w:pPr>
    </w:p>
    <w:p w:rsidR="009210F9" w:rsidRPr="00874D51" w:rsidRDefault="009210F9" w:rsidP="009210F9">
      <w:pPr>
        <w:rPr>
          <w:rFonts w:ascii="Times New Roman" w:hAnsi="Times New Roman"/>
        </w:rPr>
      </w:pPr>
      <w:r w:rsidRPr="00874D51">
        <w:rPr>
          <w:rFonts w:ascii="Times New Roman" w:hAnsi="Times New Roman"/>
        </w:rPr>
        <w:t>Gilchrist, S</w:t>
      </w:r>
      <w:r>
        <w:rPr>
          <w:rFonts w:ascii="Times New Roman" w:hAnsi="Times New Roman"/>
        </w:rPr>
        <w:t>.</w:t>
      </w:r>
      <w:r w:rsidRPr="00874D51">
        <w:rPr>
          <w:rFonts w:ascii="Times New Roman" w:hAnsi="Times New Roman"/>
        </w:rPr>
        <w:t>, V</w:t>
      </w:r>
      <w:r>
        <w:rPr>
          <w:rFonts w:ascii="Times New Roman" w:hAnsi="Times New Roman"/>
        </w:rPr>
        <w:t>.</w:t>
      </w:r>
      <w:r w:rsidRPr="00874D51">
        <w:rPr>
          <w:rFonts w:ascii="Times New Roman" w:hAnsi="Times New Roman"/>
        </w:rPr>
        <w:t xml:space="preserve"> Yankov and E</w:t>
      </w:r>
      <w:r>
        <w:rPr>
          <w:rFonts w:ascii="Times New Roman" w:hAnsi="Times New Roman"/>
        </w:rPr>
        <w:t>.</w:t>
      </w:r>
      <w:r w:rsidRPr="00874D51">
        <w:rPr>
          <w:rFonts w:ascii="Times New Roman" w:hAnsi="Times New Roman"/>
        </w:rPr>
        <w:t xml:space="preserve"> Zakrajsek, </w:t>
      </w:r>
      <w:r>
        <w:rPr>
          <w:rFonts w:ascii="Times New Roman" w:hAnsi="Times New Roman"/>
        </w:rPr>
        <w:t>“</w:t>
      </w:r>
      <w:r w:rsidRPr="00874D51">
        <w:rPr>
          <w:rFonts w:ascii="Times New Roman" w:hAnsi="Times New Roman"/>
        </w:rPr>
        <w:t>Credit Market Shocks and Economic Fluctuations: Evidence from Corporate Bond and Stock Markets,</w:t>
      </w:r>
      <w:r>
        <w:rPr>
          <w:rFonts w:ascii="Times New Roman" w:hAnsi="Times New Roman"/>
        </w:rPr>
        <w:t>”</w:t>
      </w:r>
      <w:r w:rsidRPr="00874D51">
        <w:rPr>
          <w:rFonts w:ascii="Times New Roman" w:hAnsi="Times New Roman"/>
        </w:rPr>
        <w:t xml:space="preserve"> </w:t>
      </w:r>
      <w:r w:rsidRPr="00670121">
        <w:rPr>
          <w:rFonts w:ascii="Times New Roman" w:hAnsi="Times New Roman"/>
          <w:i/>
        </w:rPr>
        <w:t>Journal of Monetary Economics</w:t>
      </w:r>
      <w:r w:rsidRPr="00874D51">
        <w:rPr>
          <w:rFonts w:ascii="Times New Roman" w:hAnsi="Times New Roman"/>
        </w:rPr>
        <w:t>, May 2009.</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 xml:space="preserve">Goodhart, C. </w:t>
      </w:r>
      <w:r>
        <w:rPr>
          <w:rFonts w:ascii="Times New Roman" w:hAnsi="Times New Roman"/>
          <w:bCs/>
        </w:rPr>
        <w:t>and B.</w:t>
      </w:r>
      <w:r w:rsidRPr="00874D51">
        <w:rPr>
          <w:rFonts w:ascii="Times New Roman" w:hAnsi="Times New Roman"/>
          <w:bCs/>
        </w:rPr>
        <w:t xml:space="preserve"> Hofmann (February 2001)</w:t>
      </w:r>
      <w:r>
        <w:rPr>
          <w:rFonts w:ascii="Times New Roman" w:hAnsi="Times New Roman"/>
          <w:bCs/>
        </w:rPr>
        <w:t>,</w:t>
      </w:r>
      <w:r w:rsidRPr="00874D51">
        <w:rPr>
          <w:rFonts w:ascii="Times New Roman" w:hAnsi="Times New Roman"/>
          <w:bCs/>
        </w:rPr>
        <w:t xml:space="preserve"> </w:t>
      </w:r>
      <w:r>
        <w:rPr>
          <w:rFonts w:ascii="Times New Roman" w:hAnsi="Times New Roman"/>
          <w:bCs/>
        </w:rPr>
        <w:t>“</w:t>
      </w:r>
      <w:r w:rsidRPr="00874D51">
        <w:rPr>
          <w:rFonts w:ascii="Times New Roman" w:hAnsi="Times New Roman"/>
          <w:bCs/>
        </w:rPr>
        <w:t>Asset Prices, Financial Conditions, and the Transmission of Monetary Policy</w:t>
      </w:r>
      <w:r>
        <w:rPr>
          <w:rFonts w:ascii="Times New Roman" w:hAnsi="Times New Roman"/>
          <w:bCs/>
        </w:rPr>
        <w:t>,”</w:t>
      </w:r>
      <w:r w:rsidRPr="00874D51">
        <w:rPr>
          <w:rFonts w:ascii="Times New Roman" w:hAnsi="Times New Roman"/>
          <w:bCs/>
        </w:rPr>
        <w:t xml:space="preserve"> FRB San Francisco, Paper prepared for the conference on ‘Asset Prices, Exchange Rates, and Monetary Policy’ Stanford University, March 2-3, 2001.</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 xml:space="preserve">Guichard, S. </w:t>
      </w:r>
      <w:r>
        <w:rPr>
          <w:rFonts w:ascii="Times New Roman" w:hAnsi="Times New Roman"/>
          <w:bCs/>
        </w:rPr>
        <w:t>and</w:t>
      </w:r>
      <w:r w:rsidRPr="00874D51">
        <w:rPr>
          <w:rFonts w:ascii="Times New Roman" w:hAnsi="Times New Roman"/>
          <w:bCs/>
        </w:rPr>
        <w:t xml:space="preserve"> </w:t>
      </w:r>
      <w:r>
        <w:rPr>
          <w:rFonts w:ascii="Times New Roman" w:hAnsi="Times New Roman"/>
          <w:bCs/>
        </w:rPr>
        <w:t xml:space="preserve">D. </w:t>
      </w:r>
      <w:r w:rsidRPr="00874D51">
        <w:rPr>
          <w:rFonts w:ascii="Times New Roman" w:hAnsi="Times New Roman"/>
          <w:bCs/>
        </w:rPr>
        <w:t>Turner (September 2008)</w:t>
      </w:r>
      <w:r>
        <w:rPr>
          <w:rFonts w:ascii="Times New Roman" w:hAnsi="Times New Roman"/>
          <w:bCs/>
        </w:rPr>
        <w:t>, “</w:t>
      </w:r>
      <w:r w:rsidRPr="00874D51">
        <w:rPr>
          <w:rFonts w:ascii="Times New Roman" w:hAnsi="Times New Roman"/>
          <w:bCs/>
        </w:rPr>
        <w:t>Quantifying the effect of financial conditions on US activity</w:t>
      </w:r>
      <w:r>
        <w:rPr>
          <w:rFonts w:ascii="Times New Roman" w:hAnsi="Times New Roman"/>
          <w:bCs/>
        </w:rPr>
        <w:t>,”</w:t>
      </w:r>
      <w:r w:rsidRPr="00874D51">
        <w:rPr>
          <w:rFonts w:ascii="Times New Roman" w:hAnsi="Times New Roman"/>
          <w:bCs/>
        </w:rPr>
        <w:t xml:space="preserve"> OECD Economics Department Working Papers.</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 xml:space="preserve">Hakkio, C. S. </w:t>
      </w:r>
      <w:r>
        <w:rPr>
          <w:rFonts w:ascii="Times New Roman" w:hAnsi="Times New Roman"/>
          <w:bCs/>
        </w:rPr>
        <w:t xml:space="preserve">and W. R. </w:t>
      </w:r>
      <w:r w:rsidRPr="00874D51">
        <w:rPr>
          <w:rFonts w:ascii="Times New Roman" w:hAnsi="Times New Roman"/>
          <w:bCs/>
        </w:rPr>
        <w:t>Keeton (2</w:t>
      </w:r>
      <w:r>
        <w:rPr>
          <w:rFonts w:ascii="Times New Roman" w:hAnsi="Times New Roman"/>
          <w:bCs/>
        </w:rPr>
        <w:t>Q</w:t>
      </w:r>
      <w:r w:rsidRPr="00874D51">
        <w:rPr>
          <w:rFonts w:ascii="Times New Roman" w:hAnsi="Times New Roman"/>
          <w:bCs/>
        </w:rPr>
        <w:t xml:space="preserve"> 2009)</w:t>
      </w:r>
      <w:r>
        <w:rPr>
          <w:rFonts w:ascii="Times New Roman" w:hAnsi="Times New Roman"/>
          <w:bCs/>
        </w:rPr>
        <w:t>, “</w:t>
      </w:r>
      <w:r w:rsidRPr="00874D51">
        <w:rPr>
          <w:rFonts w:ascii="Times New Roman" w:hAnsi="Times New Roman"/>
          <w:bCs/>
        </w:rPr>
        <w:t>Financial Stress: What is it, how can it be measured, and why does it matter?</w:t>
      </w:r>
      <w:r>
        <w:rPr>
          <w:rFonts w:ascii="Times New Roman" w:hAnsi="Times New Roman"/>
          <w:bCs/>
        </w:rPr>
        <w:t>”</w:t>
      </w:r>
      <w:r w:rsidRPr="00874D51">
        <w:rPr>
          <w:rFonts w:ascii="Times New Roman" w:hAnsi="Times New Roman"/>
          <w:bCs/>
        </w:rPr>
        <w:t xml:space="preserve">  </w:t>
      </w:r>
      <w:r>
        <w:rPr>
          <w:rFonts w:ascii="Times New Roman" w:hAnsi="Times New Roman"/>
          <w:bCs/>
        </w:rPr>
        <w:t xml:space="preserve">Federal Reserve Bank of </w:t>
      </w:r>
      <w:r w:rsidRPr="00874D51">
        <w:rPr>
          <w:rFonts w:ascii="Times New Roman" w:hAnsi="Times New Roman"/>
          <w:bCs/>
        </w:rPr>
        <w:t xml:space="preserve">Kansas City </w:t>
      </w:r>
      <w:r w:rsidRPr="002975B8">
        <w:rPr>
          <w:rFonts w:ascii="Times New Roman" w:hAnsi="Times New Roman"/>
          <w:bCs/>
          <w:i/>
        </w:rPr>
        <w:t>Economic Review</w:t>
      </w:r>
      <w:r w:rsidRPr="00874D51">
        <w:rPr>
          <w:rFonts w:ascii="Times New Roman" w:hAnsi="Times New Roman"/>
          <w:bCs/>
        </w:rPr>
        <w:t>.</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Harvey, C</w:t>
      </w:r>
      <w:r>
        <w:rPr>
          <w:rFonts w:ascii="Times New Roman" w:hAnsi="Times New Roman"/>
          <w:bCs/>
        </w:rPr>
        <w:t>.</w:t>
      </w:r>
      <w:r w:rsidRPr="00874D51">
        <w:rPr>
          <w:rFonts w:ascii="Times New Roman" w:hAnsi="Times New Roman"/>
          <w:bCs/>
        </w:rPr>
        <w:t xml:space="preserve"> (1988)</w:t>
      </w:r>
      <w:r>
        <w:rPr>
          <w:rFonts w:ascii="Times New Roman" w:hAnsi="Times New Roman"/>
          <w:bCs/>
        </w:rPr>
        <w:t>,</w:t>
      </w:r>
      <w:r w:rsidRPr="00874D51">
        <w:rPr>
          <w:rFonts w:ascii="Times New Roman" w:hAnsi="Times New Roman"/>
          <w:bCs/>
        </w:rPr>
        <w:t xml:space="preserve"> </w:t>
      </w:r>
      <w:r>
        <w:rPr>
          <w:rFonts w:ascii="Times New Roman" w:hAnsi="Times New Roman"/>
          <w:bCs/>
        </w:rPr>
        <w:t>“</w:t>
      </w:r>
      <w:r w:rsidRPr="00874D51">
        <w:rPr>
          <w:rFonts w:ascii="Times New Roman" w:hAnsi="Times New Roman"/>
          <w:bCs/>
        </w:rPr>
        <w:t>The Real Term Structure of and Consumption Growth</w:t>
      </w:r>
      <w:r>
        <w:rPr>
          <w:rFonts w:ascii="Times New Roman" w:hAnsi="Times New Roman"/>
          <w:bCs/>
        </w:rPr>
        <w:t>,”</w:t>
      </w:r>
      <w:r w:rsidRPr="00874D51">
        <w:rPr>
          <w:rFonts w:ascii="Times New Roman" w:hAnsi="Times New Roman"/>
          <w:bCs/>
        </w:rPr>
        <w:t xml:space="preserve"> </w:t>
      </w:r>
      <w:r w:rsidRPr="00900EC1">
        <w:rPr>
          <w:rFonts w:ascii="Times New Roman" w:hAnsi="Times New Roman"/>
          <w:bCs/>
          <w:i/>
        </w:rPr>
        <w:t>Journal of Financial Economics</w:t>
      </w:r>
      <w:r w:rsidRPr="00874D51">
        <w:rPr>
          <w:rFonts w:ascii="Times New Roman" w:hAnsi="Times New Roman"/>
          <w:bCs/>
        </w:rPr>
        <w:t>, 22, pp. 305-333.</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 xml:space="preserve">Hooper, P., </w:t>
      </w:r>
      <w:r>
        <w:rPr>
          <w:rFonts w:ascii="Times New Roman" w:hAnsi="Times New Roman"/>
          <w:bCs/>
        </w:rPr>
        <w:t xml:space="preserve">T. </w:t>
      </w:r>
      <w:r w:rsidRPr="00874D51">
        <w:rPr>
          <w:rFonts w:ascii="Times New Roman" w:hAnsi="Times New Roman"/>
          <w:bCs/>
        </w:rPr>
        <w:t xml:space="preserve">Mayer </w:t>
      </w:r>
      <w:r>
        <w:rPr>
          <w:rFonts w:ascii="Times New Roman" w:hAnsi="Times New Roman"/>
          <w:bCs/>
        </w:rPr>
        <w:t>and T.</w:t>
      </w:r>
      <w:r w:rsidRPr="00874D51">
        <w:rPr>
          <w:rFonts w:ascii="Times New Roman" w:hAnsi="Times New Roman"/>
          <w:bCs/>
        </w:rPr>
        <w:t xml:space="preserve"> Slok (June 11, 2007). </w:t>
      </w:r>
      <w:r>
        <w:rPr>
          <w:rFonts w:ascii="Times New Roman" w:hAnsi="Times New Roman"/>
          <w:bCs/>
        </w:rPr>
        <w:t>“</w:t>
      </w:r>
      <w:r w:rsidRPr="00874D51">
        <w:rPr>
          <w:rFonts w:ascii="Times New Roman" w:hAnsi="Times New Roman"/>
          <w:bCs/>
        </w:rPr>
        <w:t>Financial Conditions: Central Banks Still Ahead of Markets</w:t>
      </w:r>
      <w:r>
        <w:rPr>
          <w:rFonts w:ascii="Times New Roman" w:hAnsi="Times New Roman"/>
          <w:bCs/>
        </w:rPr>
        <w:t>,”</w:t>
      </w:r>
      <w:r w:rsidRPr="00874D51">
        <w:rPr>
          <w:rFonts w:ascii="Times New Roman" w:hAnsi="Times New Roman"/>
          <w:bCs/>
        </w:rPr>
        <w:t xml:space="preserve"> Deutsche Bank, </w:t>
      </w:r>
      <w:r w:rsidRPr="00900EC1">
        <w:rPr>
          <w:rFonts w:ascii="Times New Roman" w:hAnsi="Times New Roman"/>
          <w:bCs/>
          <w:i/>
        </w:rPr>
        <w:t>Global Economic Perspectives</w:t>
      </w:r>
      <w:r w:rsidRPr="00874D51">
        <w:rPr>
          <w:rFonts w:ascii="Times New Roman" w:hAnsi="Times New Roman"/>
          <w:bCs/>
        </w:rPr>
        <w:t>.</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 xml:space="preserve">Hooper, P., </w:t>
      </w:r>
      <w:r>
        <w:rPr>
          <w:rFonts w:ascii="Times New Roman" w:hAnsi="Times New Roman"/>
          <w:bCs/>
        </w:rPr>
        <w:t xml:space="preserve">T. </w:t>
      </w:r>
      <w:r w:rsidRPr="00874D51">
        <w:rPr>
          <w:rFonts w:ascii="Times New Roman" w:hAnsi="Times New Roman"/>
          <w:bCs/>
        </w:rPr>
        <w:t>Slok</w:t>
      </w:r>
      <w:r>
        <w:rPr>
          <w:rFonts w:ascii="Times New Roman" w:hAnsi="Times New Roman"/>
          <w:bCs/>
        </w:rPr>
        <w:t xml:space="preserve"> and</w:t>
      </w:r>
      <w:r w:rsidRPr="00874D51">
        <w:rPr>
          <w:rFonts w:ascii="Times New Roman" w:hAnsi="Times New Roman"/>
          <w:bCs/>
        </w:rPr>
        <w:t xml:space="preserve"> </w:t>
      </w:r>
      <w:r>
        <w:rPr>
          <w:rFonts w:ascii="Times New Roman" w:hAnsi="Times New Roman"/>
          <w:bCs/>
        </w:rPr>
        <w:t xml:space="preserve">C. </w:t>
      </w:r>
      <w:r w:rsidRPr="00874D51">
        <w:rPr>
          <w:rFonts w:ascii="Times New Roman" w:hAnsi="Times New Roman"/>
          <w:bCs/>
        </w:rPr>
        <w:t>Dobridge (January 6, 2010)</w:t>
      </w:r>
      <w:r>
        <w:rPr>
          <w:rFonts w:ascii="Times New Roman" w:hAnsi="Times New Roman"/>
          <w:bCs/>
        </w:rPr>
        <w:t>,</w:t>
      </w:r>
      <w:r w:rsidRPr="00874D51">
        <w:rPr>
          <w:rFonts w:ascii="Times New Roman" w:hAnsi="Times New Roman"/>
          <w:bCs/>
        </w:rPr>
        <w:t xml:space="preserve"> </w:t>
      </w:r>
      <w:r>
        <w:rPr>
          <w:rFonts w:ascii="Times New Roman" w:hAnsi="Times New Roman"/>
          <w:bCs/>
        </w:rPr>
        <w:t>“</w:t>
      </w:r>
      <w:r w:rsidRPr="00874D51">
        <w:rPr>
          <w:rFonts w:ascii="Times New Roman" w:hAnsi="Times New Roman"/>
          <w:bCs/>
        </w:rPr>
        <w:t>Improving Financial Conditions Bode Well for Growth</w:t>
      </w:r>
      <w:r>
        <w:rPr>
          <w:rFonts w:ascii="Times New Roman" w:hAnsi="Times New Roman"/>
          <w:bCs/>
        </w:rPr>
        <w:t>,”</w:t>
      </w:r>
      <w:r w:rsidRPr="00874D51">
        <w:rPr>
          <w:rFonts w:ascii="Times New Roman" w:hAnsi="Times New Roman"/>
          <w:bCs/>
        </w:rPr>
        <w:t xml:space="preserve"> Deutsche Bank, </w:t>
      </w:r>
      <w:r w:rsidRPr="00981DCB">
        <w:rPr>
          <w:rFonts w:ascii="Times New Roman" w:hAnsi="Times New Roman"/>
          <w:bCs/>
          <w:i/>
        </w:rPr>
        <w:t>Global Economic Perspectives</w:t>
      </w:r>
      <w:r w:rsidRPr="00874D51">
        <w:rPr>
          <w:rFonts w:ascii="Times New Roman" w:hAnsi="Times New Roman"/>
          <w:bCs/>
        </w:rPr>
        <w:t>.</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Jorgenson, D. (1996)</w:t>
      </w:r>
      <w:r>
        <w:rPr>
          <w:rFonts w:ascii="Times New Roman" w:hAnsi="Times New Roman"/>
          <w:bCs/>
        </w:rPr>
        <w:t>,</w:t>
      </w:r>
      <w:r w:rsidRPr="00874D51">
        <w:rPr>
          <w:rFonts w:ascii="Times New Roman" w:hAnsi="Times New Roman"/>
          <w:bCs/>
        </w:rPr>
        <w:t xml:space="preserve"> </w:t>
      </w:r>
      <w:r w:rsidRPr="00981DCB">
        <w:rPr>
          <w:rFonts w:ascii="Times New Roman" w:hAnsi="Times New Roman"/>
          <w:bCs/>
          <w:i/>
        </w:rPr>
        <w:t>Capital Theory and Investment Behavior</w:t>
      </w:r>
      <w:r>
        <w:rPr>
          <w:rFonts w:ascii="Times New Roman" w:hAnsi="Times New Roman"/>
          <w:bCs/>
        </w:rPr>
        <w:t>,</w:t>
      </w:r>
      <w:r w:rsidRPr="00874D51">
        <w:rPr>
          <w:rFonts w:ascii="Times New Roman" w:hAnsi="Times New Roman"/>
          <w:bCs/>
        </w:rPr>
        <w:t xml:space="preserve"> Cambridge, MIT Press.</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Friedman, B. and K</w:t>
      </w:r>
      <w:r>
        <w:rPr>
          <w:rFonts w:ascii="Times New Roman" w:hAnsi="Times New Roman"/>
          <w:bCs/>
        </w:rPr>
        <w:t>.</w:t>
      </w:r>
      <w:r w:rsidRPr="00874D51">
        <w:rPr>
          <w:rFonts w:ascii="Times New Roman" w:hAnsi="Times New Roman"/>
          <w:bCs/>
        </w:rPr>
        <w:t xml:space="preserve"> Kuttner (1992)</w:t>
      </w:r>
      <w:r>
        <w:rPr>
          <w:rFonts w:ascii="Times New Roman" w:hAnsi="Times New Roman"/>
          <w:bCs/>
        </w:rPr>
        <w:t>,</w:t>
      </w:r>
      <w:r w:rsidRPr="00874D51">
        <w:rPr>
          <w:rFonts w:ascii="Times New Roman" w:hAnsi="Times New Roman"/>
          <w:bCs/>
        </w:rPr>
        <w:t xml:space="preserve"> </w:t>
      </w:r>
      <w:r>
        <w:rPr>
          <w:rFonts w:ascii="Times New Roman" w:hAnsi="Times New Roman"/>
          <w:bCs/>
        </w:rPr>
        <w:t>“</w:t>
      </w:r>
      <w:r w:rsidRPr="00874D51">
        <w:rPr>
          <w:rFonts w:ascii="Times New Roman" w:hAnsi="Times New Roman"/>
          <w:bCs/>
        </w:rPr>
        <w:t>Why Does the Paper-Bill Spread Predict Real Economic Activity?</w:t>
      </w:r>
      <w:r>
        <w:rPr>
          <w:rFonts w:ascii="Times New Roman" w:hAnsi="Times New Roman"/>
          <w:bCs/>
        </w:rPr>
        <w:t>”</w:t>
      </w:r>
      <w:r w:rsidRPr="00874D51">
        <w:rPr>
          <w:rFonts w:ascii="Times New Roman" w:hAnsi="Times New Roman"/>
          <w:bCs/>
        </w:rPr>
        <w:t xml:space="preserve"> in </w:t>
      </w:r>
      <w:r w:rsidRPr="00981DCB">
        <w:rPr>
          <w:rFonts w:ascii="Times New Roman" w:hAnsi="Times New Roman"/>
          <w:bCs/>
          <w:i/>
        </w:rPr>
        <w:t>Business Cycles, Indicators and Forecasting</w:t>
      </w:r>
      <w:r w:rsidRPr="00874D51">
        <w:rPr>
          <w:rFonts w:ascii="Times New Roman" w:hAnsi="Times New Roman"/>
          <w:bCs/>
        </w:rPr>
        <w:t>, Stock</w:t>
      </w:r>
      <w:r>
        <w:rPr>
          <w:rFonts w:ascii="Times New Roman" w:hAnsi="Times New Roman"/>
          <w:bCs/>
        </w:rPr>
        <w:t>,</w:t>
      </w:r>
      <w:r w:rsidRPr="00874D51">
        <w:rPr>
          <w:rFonts w:ascii="Times New Roman" w:hAnsi="Times New Roman"/>
          <w:bCs/>
        </w:rPr>
        <w:t xml:space="preserve"> </w:t>
      </w:r>
      <w:r>
        <w:rPr>
          <w:rFonts w:ascii="Times New Roman" w:hAnsi="Times New Roman"/>
          <w:bCs/>
        </w:rPr>
        <w:t xml:space="preserve">J. </w:t>
      </w:r>
      <w:r w:rsidRPr="00874D51">
        <w:rPr>
          <w:rFonts w:ascii="Times New Roman" w:hAnsi="Times New Roman"/>
          <w:bCs/>
        </w:rPr>
        <w:t>and M. Watson, eds., Chicago: University of Chicago Press.</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Laurent, R. (1989)</w:t>
      </w:r>
      <w:r>
        <w:rPr>
          <w:rFonts w:ascii="Times New Roman" w:hAnsi="Times New Roman"/>
          <w:bCs/>
        </w:rPr>
        <w:t>,</w:t>
      </w:r>
      <w:r w:rsidRPr="00874D51">
        <w:rPr>
          <w:rFonts w:ascii="Times New Roman" w:hAnsi="Times New Roman"/>
          <w:bCs/>
        </w:rPr>
        <w:t xml:space="preserve"> </w:t>
      </w:r>
      <w:r>
        <w:rPr>
          <w:rFonts w:ascii="Times New Roman" w:hAnsi="Times New Roman"/>
          <w:bCs/>
        </w:rPr>
        <w:t>“</w:t>
      </w:r>
      <w:r w:rsidRPr="00874D51">
        <w:rPr>
          <w:rFonts w:ascii="Times New Roman" w:hAnsi="Times New Roman"/>
          <w:bCs/>
        </w:rPr>
        <w:t>Testing the Spread</w:t>
      </w:r>
      <w:r>
        <w:rPr>
          <w:rFonts w:ascii="Times New Roman" w:hAnsi="Times New Roman"/>
          <w:bCs/>
        </w:rPr>
        <w:t>,”</w:t>
      </w:r>
      <w:r w:rsidRPr="00874D51">
        <w:rPr>
          <w:rFonts w:ascii="Times New Roman" w:hAnsi="Times New Roman"/>
          <w:bCs/>
        </w:rPr>
        <w:t xml:space="preserve"> Federal Reserve Bank of Chicago, </w:t>
      </w:r>
      <w:r w:rsidRPr="000F6FB6">
        <w:rPr>
          <w:rFonts w:ascii="Times New Roman" w:hAnsi="Times New Roman"/>
          <w:bCs/>
          <w:i/>
        </w:rPr>
        <w:t>Economics Perspectives</w:t>
      </w:r>
      <w:r w:rsidRPr="00874D51">
        <w:rPr>
          <w:rFonts w:ascii="Times New Roman" w:hAnsi="Times New Roman"/>
          <w:bCs/>
        </w:rPr>
        <w:t>, 12:1, pp. 3-14.</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Montagnoli, A.</w:t>
      </w:r>
      <w:r>
        <w:rPr>
          <w:rFonts w:ascii="Times New Roman" w:hAnsi="Times New Roman"/>
          <w:bCs/>
        </w:rPr>
        <w:t xml:space="preserve"> and O.</w:t>
      </w:r>
      <w:r w:rsidRPr="00874D51">
        <w:rPr>
          <w:rFonts w:ascii="Times New Roman" w:hAnsi="Times New Roman"/>
          <w:bCs/>
        </w:rPr>
        <w:t xml:space="preserve"> Napolitano (March 2006)</w:t>
      </w:r>
      <w:r>
        <w:rPr>
          <w:rFonts w:ascii="Times New Roman" w:hAnsi="Times New Roman"/>
          <w:bCs/>
        </w:rPr>
        <w:t>, “</w:t>
      </w:r>
      <w:r w:rsidRPr="00874D51">
        <w:rPr>
          <w:rFonts w:ascii="Times New Roman" w:hAnsi="Times New Roman"/>
          <w:bCs/>
        </w:rPr>
        <w:t>Financial Condition Index and interest rate settings: a comparative analysis</w:t>
      </w:r>
      <w:r>
        <w:rPr>
          <w:rFonts w:ascii="Times New Roman" w:hAnsi="Times New Roman"/>
          <w:bCs/>
        </w:rPr>
        <w:t>,”</w:t>
      </w:r>
      <w:r w:rsidRPr="00874D51">
        <w:rPr>
          <w:rFonts w:ascii="Times New Roman" w:hAnsi="Times New Roman"/>
          <w:bCs/>
        </w:rPr>
        <w:t xml:space="preserve"> WP No. 8.2005, University of Naples, Italy.</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Rosenberg, M. (December 3, 2009)</w:t>
      </w:r>
      <w:r>
        <w:rPr>
          <w:rFonts w:ascii="Times New Roman" w:hAnsi="Times New Roman"/>
          <w:bCs/>
        </w:rPr>
        <w:t>,</w:t>
      </w:r>
      <w:r w:rsidRPr="00874D51">
        <w:rPr>
          <w:rFonts w:ascii="Times New Roman" w:hAnsi="Times New Roman"/>
          <w:bCs/>
        </w:rPr>
        <w:t xml:space="preserve"> </w:t>
      </w:r>
      <w:r>
        <w:rPr>
          <w:rFonts w:ascii="Times New Roman" w:hAnsi="Times New Roman"/>
          <w:bCs/>
        </w:rPr>
        <w:t>“</w:t>
      </w:r>
      <w:r w:rsidRPr="00874D51">
        <w:rPr>
          <w:rFonts w:ascii="Times New Roman" w:hAnsi="Times New Roman"/>
          <w:bCs/>
        </w:rPr>
        <w:t>Financial Conditions Watch</w:t>
      </w:r>
      <w:r>
        <w:rPr>
          <w:rFonts w:ascii="Times New Roman" w:hAnsi="Times New Roman"/>
          <w:bCs/>
        </w:rPr>
        <w:t xml:space="preserve">,” </w:t>
      </w:r>
      <w:r w:rsidRPr="00874D51">
        <w:rPr>
          <w:rFonts w:ascii="Times New Roman" w:hAnsi="Times New Roman"/>
          <w:bCs/>
        </w:rPr>
        <w:t>Bloomberg.</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Stock, J. and M. Watson,  (1989)</w:t>
      </w:r>
      <w:r>
        <w:rPr>
          <w:rFonts w:ascii="Times New Roman" w:hAnsi="Times New Roman"/>
          <w:bCs/>
        </w:rPr>
        <w:t>, “</w:t>
      </w:r>
      <w:r w:rsidRPr="00874D51">
        <w:rPr>
          <w:rFonts w:ascii="Times New Roman" w:hAnsi="Times New Roman"/>
          <w:bCs/>
        </w:rPr>
        <w:t>New Indexes of Coincident and Leading Economic Indicators</w:t>
      </w:r>
      <w:r>
        <w:rPr>
          <w:rFonts w:ascii="Times New Roman" w:hAnsi="Times New Roman"/>
          <w:bCs/>
        </w:rPr>
        <w:t>,” in</w:t>
      </w:r>
      <w:r w:rsidRPr="00874D51">
        <w:rPr>
          <w:rFonts w:ascii="Times New Roman" w:hAnsi="Times New Roman"/>
          <w:bCs/>
        </w:rPr>
        <w:t xml:space="preserve"> Blanchard O. </w:t>
      </w:r>
      <w:r>
        <w:rPr>
          <w:rFonts w:ascii="Times New Roman" w:hAnsi="Times New Roman"/>
          <w:bCs/>
        </w:rPr>
        <w:t>and S.</w:t>
      </w:r>
      <w:r w:rsidRPr="00874D51">
        <w:rPr>
          <w:rFonts w:ascii="Times New Roman" w:hAnsi="Times New Roman"/>
          <w:bCs/>
        </w:rPr>
        <w:t xml:space="preserve"> Fischer (eds.), </w:t>
      </w:r>
      <w:r w:rsidRPr="00203EE7">
        <w:rPr>
          <w:rFonts w:ascii="Times New Roman" w:hAnsi="Times New Roman"/>
          <w:bCs/>
          <w:i/>
        </w:rPr>
        <w:t>NBER Macroeconomics Annual</w:t>
      </w:r>
      <w:r w:rsidRPr="00874D51">
        <w:rPr>
          <w:rFonts w:ascii="Times New Roman" w:hAnsi="Times New Roman"/>
          <w:bCs/>
        </w:rPr>
        <w:t xml:space="preserve"> (Cambridge, MA: MIT), 352-94.</w:t>
      </w:r>
    </w:p>
    <w:p w:rsidR="009210F9" w:rsidRPr="00874D51" w:rsidRDefault="009210F9" w:rsidP="009210F9">
      <w:pPr>
        <w:rPr>
          <w:rFonts w:ascii="Times New Roman" w:hAnsi="Times New Roman"/>
          <w:bCs/>
        </w:rPr>
      </w:pPr>
    </w:p>
    <w:p w:rsidR="009210F9" w:rsidRPr="00874D51" w:rsidRDefault="009210F9" w:rsidP="009210F9">
      <w:pPr>
        <w:pStyle w:val="PlainText"/>
        <w:spacing w:line="276" w:lineRule="auto"/>
        <w:rPr>
          <w:rFonts w:ascii="Times New Roman" w:hAnsi="Times New Roman"/>
          <w:sz w:val="24"/>
          <w:szCs w:val="24"/>
        </w:rPr>
      </w:pPr>
      <w:r>
        <w:rPr>
          <w:rFonts w:ascii="Times New Roman" w:hAnsi="Times New Roman"/>
          <w:sz w:val="24"/>
          <w:szCs w:val="24"/>
        </w:rPr>
        <w:t>__________</w:t>
      </w:r>
      <w:r w:rsidRPr="00874D51">
        <w:rPr>
          <w:rFonts w:ascii="Times New Roman" w:hAnsi="Times New Roman"/>
          <w:sz w:val="24"/>
          <w:szCs w:val="24"/>
        </w:rPr>
        <w:t xml:space="preserve"> </w:t>
      </w:r>
      <w:r>
        <w:rPr>
          <w:rFonts w:ascii="Times New Roman" w:hAnsi="Times New Roman"/>
          <w:sz w:val="24"/>
          <w:szCs w:val="24"/>
        </w:rPr>
        <w:t xml:space="preserve"> </w:t>
      </w:r>
      <w:r w:rsidRPr="00874D51">
        <w:rPr>
          <w:rFonts w:ascii="Times New Roman" w:hAnsi="Times New Roman"/>
          <w:sz w:val="24"/>
          <w:szCs w:val="24"/>
        </w:rPr>
        <w:t xml:space="preserve">(2003), “Forecasting Output and Inflation: The Role of Asset Prices,” </w:t>
      </w:r>
      <w:r w:rsidRPr="00874D51">
        <w:rPr>
          <w:rFonts w:ascii="Times New Roman" w:hAnsi="Times New Roman"/>
          <w:i/>
          <w:sz w:val="24"/>
          <w:szCs w:val="24"/>
        </w:rPr>
        <w:t>Journal of Economic Literature</w:t>
      </w:r>
      <w:r w:rsidRPr="00874D51">
        <w:rPr>
          <w:rFonts w:ascii="Times New Roman" w:hAnsi="Times New Roman"/>
          <w:sz w:val="24"/>
          <w:szCs w:val="24"/>
        </w:rPr>
        <w:t>, Vol. 41, No. 3, 788-829.</w:t>
      </w:r>
    </w:p>
    <w:p w:rsidR="009210F9" w:rsidRPr="00874D51" w:rsidRDefault="009210F9" w:rsidP="009210F9">
      <w:pPr>
        <w:pStyle w:val="PlainText"/>
        <w:spacing w:line="276" w:lineRule="auto"/>
        <w:rPr>
          <w:rFonts w:ascii="Times New Roman" w:hAnsi="Times New Roman"/>
          <w:sz w:val="24"/>
          <w:szCs w:val="24"/>
        </w:rPr>
      </w:pPr>
    </w:p>
    <w:p w:rsidR="009210F9" w:rsidRPr="00874D51" w:rsidRDefault="009210F9" w:rsidP="009210F9">
      <w:pPr>
        <w:rPr>
          <w:rFonts w:ascii="Times New Roman" w:hAnsi="Times New Roman"/>
        </w:rPr>
      </w:pPr>
      <w:r>
        <w:rPr>
          <w:rFonts w:ascii="Times New Roman" w:hAnsi="Times New Roman"/>
        </w:rPr>
        <w:t xml:space="preserve">___________ </w:t>
      </w:r>
      <w:r w:rsidRPr="00874D51">
        <w:rPr>
          <w:rFonts w:ascii="Times New Roman" w:hAnsi="Times New Roman"/>
        </w:rPr>
        <w:t xml:space="preserve">(2006), “Forecasting with Many Predictors,” ch. 6 in </w:t>
      </w:r>
      <w:r w:rsidRPr="00874D51">
        <w:rPr>
          <w:rFonts w:ascii="Times New Roman" w:hAnsi="Times New Roman"/>
          <w:i/>
          <w:iCs/>
        </w:rPr>
        <w:t>Handbook of Economic Forecasting</w:t>
      </w:r>
      <w:r w:rsidRPr="00874D51">
        <w:rPr>
          <w:rFonts w:ascii="Times New Roman" w:hAnsi="Times New Roman"/>
        </w:rPr>
        <w:t xml:space="preserve">, ed. by </w:t>
      </w:r>
      <w:r w:rsidRPr="00874D51">
        <w:rPr>
          <w:rStyle w:val="Strong"/>
          <w:rFonts w:ascii="Times New Roman" w:hAnsi="Times New Roman"/>
          <w:b w:val="0"/>
          <w:bCs w:val="0"/>
        </w:rPr>
        <w:t xml:space="preserve">Elliott, </w:t>
      </w:r>
      <w:r>
        <w:rPr>
          <w:rStyle w:val="Strong"/>
          <w:rFonts w:ascii="Times New Roman" w:hAnsi="Times New Roman"/>
          <w:b w:val="0"/>
          <w:bCs w:val="0"/>
        </w:rPr>
        <w:t xml:space="preserve">G., </w:t>
      </w:r>
      <w:r w:rsidRPr="00874D51">
        <w:rPr>
          <w:rStyle w:val="Strong"/>
          <w:rFonts w:ascii="Times New Roman" w:hAnsi="Times New Roman"/>
          <w:b w:val="0"/>
          <w:bCs w:val="0"/>
        </w:rPr>
        <w:t>C. Granger, and A</w:t>
      </w:r>
      <w:r>
        <w:rPr>
          <w:rStyle w:val="Strong"/>
          <w:rFonts w:ascii="Times New Roman" w:hAnsi="Times New Roman"/>
          <w:b w:val="0"/>
          <w:bCs w:val="0"/>
        </w:rPr>
        <w:t>.</w:t>
      </w:r>
      <w:r w:rsidRPr="00874D51">
        <w:rPr>
          <w:rStyle w:val="Strong"/>
          <w:rFonts w:ascii="Times New Roman" w:hAnsi="Times New Roman"/>
          <w:b w:val="0"/>
          <w:bCs w:val="0"/>
        </w:rPr>
        <w:t xml:space="preserve"> Timmermann</w:t>
      </w:r>
      <w:r w:rsidRPr="00874D51">
        <w:rPr>
          <w:rStyle w:val="Strong"/>
          <w:rFonts w:ascii="Times New Roman" w:hAnsi="Times New Roman"/>
          <w:bCs w:val="0"/>
        </w:rPr>
        <w:t>,</w:t>
      </w:r>
      <w:r w:rsidRPr="00874D51">
        <w:rPr>
          <w:rFonts w:ascii="Times New Roman" w:hAnsi="Times New Roman"/>
        </w:rPr>
        <w:t xml:space="preserve"> Elsevier, 515-554.</w:t>
      </w:r>
    </w:p>
    <w:p w:rsidR="009210F9" w:rsidRPr="00874D51" w:rsidRDefault="009210F9" w:rsidP="009210F9">
      <w:pPr>
        <w:rPr>
          <w:rFonts w:ascii="Times New Roman" w:hAnsi="Times New Roman"/>
        </w:rPr>
      </w:pPr>
    </w:p>
    <w:p w:rsidR="009210F9" w:rsidRPr="00874D51" w:rsidRDefault="009210F9" w:rsidP="009210F9">
      <w:pPr>
        <w:tabs>
          <w:tab w:val="num" w:pos="0"/>
        </w:tabs>
        <w:rPr>
          <w:rFonts w:ascii="Times New Roman" w:hAnsi="Times New Roman"/>
        </w:rPr>
      </w:pPr>
      <w:r>
        <w:rPr>
          <w:rFonts w:ascii="Times New Roman" w:hAnsi="Times New Roman"/>
        </w:rPr>
        <w:t xml:space="preserve">___________ </w:t>
      </w:r>
      <w:r w:rsidRPr="00874D51">
        <w:rPr>
          <w:rFonts w:ascii="Times New Roman" w:hAnsi="Times New Roman"/>
        </w:rPr>
        <w:t xml:space="preserve">(2007), </w:t>
      </w:r>
      <w:r w:rsidRPr="00874D51">
        <w:rPr>
          <w:rFonts w:ascii="Times New Roman" w:hAnsi="Times New Roman"/>
          <w:i/>
        </w:rPr>
        <w:t>Introduction to Econometrics</w:t>
      </w:r>
      <w:r w:rsidRPr="00874D51">
        <w:rPr>
          <w:rFonts w:ascii="Times New Roman" w:hAnsi="Times New Roman"/>
        </w:rPr>
        <w:t>, Second Edition, Pearson, Addison-Wesley: Boston.</w:t>
      </w:r>
    </w:p>
    <w:p w:rsidR="009210F9" w:rsidRPr="00874D51" w:rsidRDefault="009210F9" w:rsidP="009210F9">
      <w:pPr>
        <w:tabs>
          <w:tab w:val="num" w:pos="0"/>
        </w:tabs>
        <w:rPr>
          <w:rFonts w:ascii="Times New Roman" w:hAnsi="Times New Roman"/>
        </w:rPr>
      </w:pPr>
    </w:p>
    <w:p w:rsidR="009210F9" w:rsidRPr="00874D51" w:rsidRDefault="009210F9" w:rsidP="009210F9">
      <w:pPr>
        <w:rPr>
          <w:rFonts w:ascii="Times New Roman" w:hAnsi="Times New Roman"/>
        </w:rPr>
      </w:pPr>
      <w:r>
        <w:rPr>
          <w:rFonts w:ascii="Times New Roman" w:hAnsi="Times New Roman"/>
        </w:rPr>
        <w:t xml:space="preserve">___________ </w:t>
      </w:r>
      <w:r w:rsidRPr="00874D51">
        <w:rPr>
          <w:rFonts w:ascii="Times New Roman" w:hAnsi="Times New Roman"/>
        </w:rPr>
        <w:t>(2010),</w:t>
      </w:r>
      <w:r w:rsidRPr="00874D51">
        <w:rPr>
          <w:rFonts w:ascii="Times New Roman" w:hAnsi="Times New Roman"/>
          <w:b/>
        </w:rPr>
        <w:t xml:space="preserve"> </w:t>
      </w:r>
      <w:r w:rsidRPr="00874D51">
        <w:rPr>
          <w:rFonts w:ascii="Times New Roman" w:hAnsi="Times New Roman"/>
        </w:rPr>
        <w:t>“Dynamic Factor Models,”</w:t>
      </w:r>
      <w:r w:rsidRPr="00874D51">
        <w:rPr>
          <w:rFonts w:ascii="Times New Roman" w:hAnsi="Times New Roman"/>
          <w:b/>
        </w:rPr>
        <w:t xml:space="preserve"> </w:t>
      </w:r>
      <w:r w:rsidRPr="00874D51">
        <w:rPr>
          <w:rFonts w:ascii="Times New Roman" w:hAnsi="Times New Roman"/>
        </w:rPr>
        <w:t xml:space="preserve">Prepared for the </w:t>
      </w:r>
      <w:r w:rsidRPr="00874D51">
        <w:rPr>
          <w:rFonts w:ascii="Times New Roman" w:hAnsi="Times New Roman"/>
          <w:i/>
        </w:rPr>
        <w:t>Oxford Handbook of Economic Forecasting</w:t>
      </w:r>
      <w:r w:rsidRPr="00874D51">
        <w:rPr>
          <w:rFonts w:ascii="Times New Roman" w:hAnsi="Times New Roman"/>
        </w:rPr>
        <w:t>, M. Clements and D. Hendry (eds</w:t>
      </w:r>
      <w:r>
        <w:rPr>
          <w:rFonts w:ascii="Times New Roman" w:hAnsi="Times New Roman"/>
        </w:rPr>
        <w:t>.</w:t>
      </w:r>
      <w:r w:rsidRPr="00874D51">
        <w:rPr>
          <w:rFonts w:ascii="Times New Roman" w:hAnsi="Times New Roman"/>
        </w:rPr>
        <w:t>), Oxford University Press</w:t>
      </w:r>
      <w:r>
        <w:rPr>
          <w:rFonts w:ascii="Times New Roman" w:hAnsi="Times New Roman"/>
        </w:rPr>
        <w:t>.</w:t>
      </w:r>
    </w:p>
    <w:p w:rsidR="009210F9" w:rsidRPr="00874D51" w:rsidRDefault="009210F9" w:rsidP="009210F9">
      <w:pPr>
        <w:rPr>
          <w:rFonts w:ascii="Times New Roman" w:hAnsi="Times New Roman"/>
          <w:bCs/>
        </w:rPr>
      </w:pPr>
    </w:p>
    <w:p w:rsidR="009210F9" w:rsidRPr="00874D51" w:rsidRDefault="009210F9" w:rsidP="009210F9">
      <w:pPr>
        <w:rPr>
          <w:rFonts w:ascii="Times New Roman" w:hAnsi="Times New Roman"/>
          <w:bCs/>
        </w:rPr>
      </w:pPr>
      <w:r w:rsidRPr="00874D51">
        <w:rPr>
          <w:rFonts w:ascii="Times New Roman" w:hAnsi="Times New Roman"/>
          <w:bCs/>
        </w:rPr>
        <w:t xml:space="preserve">Swiston, A. J. (June 2008). </w:t>
      </w:r>
      <w:r>
        <w:rPr>
          <w:rFonts w:ascii="Times New Roman" w:hAnsi="Times New Roman"/>
          <w:bCs/>
        </w:rPr>
        <w:t>“</w:t>
      </w:r>
      <w:r w:rsidRPr="00874D51">
        <w:rPr>
          <w:rFonts w:ascii="Times New Roman" w:hAnsi="Times New Roman"/>
          <w:bCs/>
        </w:rPr>
        <w:t>A U.S. Financial Conditions Index: Putting Credit Where Credit is Due</w:t>
      </w:r>
      <w:r>
        <w:rPr>
          <w:rFonts w:ascii="Times New Roman" w:hAnsi="Times New Roman"/>
          <w:bCs/>
        </w:rPr>
        <w:t>,”</w:t>
      </w:r>
      <w:r w:rsidRPr="00874D51">
        <w:rPr>
          <w:rFonts w:ascii="Times New Roman" w:hAnsi="Times New Roman"/>
          <w:bCs/>
        </w:rPr>
        <w:t xml:space="preserve"> IMF Working Paper.</w:t>
      </w:r>
    </w:p>
    <w:p w:rsidR="009210F9" w:rsidRPr="00874D51" w:rsidRDefault="009210F9" w:rsidP="009210F9">
      <w:pPr>
        <w:rPr>
          <w:rFonts w:ascii="Times New Roman" w:hAnsi="Times New Roman"/>
        </w:rPr>
      </w:pPr>
      <w:r w:rsidRPr="00874D51">
        <w:rPr>
          <w:rFonts w:ascii="Times New Roman" w:hAnsi="Times New Roman"/>
        </w:rPr>
        <w:t xml:space="preserve"> </w:t>
      </w:r>
    </w:p>
    <w:p w:rsidR="009210F9" w:rsidRDefault="009210F9" w:rsidP="009210F9">
      <w:pPr>
        <w:rPr>
          <w:rFonts w:ascii="Times New Roman" w:hAnsi="Times New Roman"/>
        </w:rPr>
      </w:pPr>
      <w:r w:rsidRPr="00874D51">
        <w:rPr>
          <w:rFonts w:ascii="Times New Roman" w:hAnsi="Times New Roman"/>
        </w:rPr>
        <w:t xml:space="preserve">Zarnowitz, V. (1992). </w:t>
      </w:r>
      <w:r>
        <w:rPr>
          <w:rFonts w:ascii="Times New Roman" w:hAnsi="Times New Roman"/>
        </w:rPr>
        <w:t>“</w:t>
      </w:r>
      <w:r w:rsidRPr="00874D51">
        <w:rPr>
          <w:rFonts w:ascii="Times New Roman" w:hAnsi="Times New Roman"/>
        </w:rPr>
        <w:t>Composite Indexes of Leading, Coincident, and Lagging Indicators</w:t>
      </w:r>
      <w:r>
        <w:rPr>
          <w:rFonts w:ascii="Times New Roman" w:hAnsi="Times New Roman"/>
        </w:rPr>
        <w:t>,”</w:t>
      </w:r>
      <w:r w:rsidRPr="00874D51">
        <w:rPr>
          <w:rFonts w:ascii="Times New Roman" w:hAnsi="Times New Roman"/>
        </w:rPr>
        <w:t xml:space="preserve"> </w:t>
      </w:r>
      <w:r>
        <w:rPr>
          <w:rFonts w:ascii="Times New Roman" w:hAnsi="Times New Roman"/>
        </w:rPr>
        <w:t>i</w:t>
      </w:r>
      <w:r w:rsidRPr="00874D51">
        <w:rPr>
          <w:rFonts w:ascii="Times New Roman" w:hAnsi="Times New Roman"/>
        </w:rPr>
        <w:t xml:space="preserve">n Zarnowitz, V. (ed.) </w:t>
      </w:r>
      <w:r w:rsidRPr="004E71BE">
        <w:rPr>
          <w:rFonts w:ascii="Times New Roman" w:hAnsi="Times New Roman"/>
          <w:u w:val="single"/>
        </w:rPr>
        <w:t>Business Cycles: Theory, History, Indicators and Forecasting</w:t>
      </w:r>
      <w:r w:rsidRPr="00874D51">
        <w:rPr>
          <w:rFonts w:ascii="Times New Roman" w:hAnsi="Times New Roman"/>
        </w:rPr>
        <w:t xml:space="preserve">, University of Chicago Press, 316-356. </w:t>
      </w:r>
    </w:p>
    <w:p w:rsidR="009210F9" w:rsidRPr="005021A8" w:rsidRDefault="009210F9" w:rsidP="009210F9">
      <w:pPr>
        <w:jc w:val="center"/>
        <w:rPr>
          <w:rFonts w:ascii="Times New Roman" w:hAnsi="Times New Roman"/>
          <w:b/>
        </w:rPr>
      </w:pPr>
      <w:r>
        <w:rPr>
          <w:rFonts w:ascii="Times New Roman" w:hAnsi="Times New Roman"/>
        </w:rPr>
        <w:br w:type="page"/>
      </w:r>
      <w:r w:rsidRPr="005021A8">
        <w:rPr>
          <w:rFonts w:ascii="Times New Roman" w:hAnsi="Times New Roman"/>
          <w:b/>
        </w:rPr>
        <w:t xml:space="preserve">Appendix: </w:t>
      </w:r>
    </w:p>
    <w:p w:rsidR="009210F9" w:rsidRDefault="009210F9" w:rsidP="009210F9">
      <w:pPr>
        <w:jc w:val="center"/>
        <w:rPr>
          <w:rFonts w:ascii="Times New Roman" w:hAnsi="Times New Roman"/>
        </w:rPr>
      </w:pPr>
    </w:p>
    <w:p w:rsidR="007907F5" w:rsidRPr="00F44485" w:rsidRDefault="00BB7BE6" w:rsidP="007907F5">
      <w:pPr>
        <w:rPr>
          <w:rFonts w:ascii="Times New Roman" w:hAnsi="Times New Roman"/>
        </w:rPr>
      </w:pPr>
      <w:r w:rsidRPr="00BB7BE6">
        <w:rPr>
          <w:rFonts w:ascii="Times New Roman" w:hAnsi="Times New Roman"/>
        </w:rPr>
        <w:t>Variables used in the subindexes in Table 5.2</w:t>
      </w:r>
      <w:r w:rsidR="00802DEA">
        <w:rPr>
          <w:rFonts w:ascii="Times New Roman" w:hAnsi="Times New Roman"/>
        </w:rPr>
        <w:t>:</w:t>
      </w:r>
    </w:p>
    <w:p w:rsidR="00730796" w:rsidRPr="00F44485" w:rsidRDefault="00730796" w:rsidP="007907F5">
      <w:pPr>
        <w:rPr>
          <w:rFonts w:ascii="Times New Roman" w:hAnsi="Times New Roman"/>
        </w:rPr>
      </w:pPr>
    </w:p>
    <w:p w:rsidR="00730796" w:rsidRPr="00F44485" w:rsidRDefault="00BB7BE6" w:rsidP="007907F5">
      <w:pPr>
        <w:rPr>
          <w:rFonts w:ascii="Times New Roman" w:hAnsi="Times New Roman"/>
        </w:rPr>
      </w:pPr>
      <w:r w:rsidRPr="00BB7BE6">
        <w:rPr>
          <w:rFonts w:ascii="Times New Roman" w:hAnsi="Times New Roman"/>
        </w:rPr>
        <w:t>Price Subindex: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8875"/>
      </w:tblGrid>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1</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10-Year Treasury Note Yield at Constant Maturity</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2</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FedFunds/3monthTBill Spread</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3</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2YrT-note/3monthTbill Spread</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4</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10YrT-note/3monthTbill Spread</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5</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Baa/10yr T-note Spread</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6</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High Yield / Baa Spread</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7</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Auto finance company loan rate, new Car/Two-yr Treasury Spread</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8</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30-yr Conventional mortgage/ 10yrTBond Spread</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9</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Jumbo/30yr Conventional Spread</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10</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TED Spread (Using Constant Maturity T-bill)</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11</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3-month LIBOR/OIS</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12</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Bank rate on new Car Loans, 48-month/Two-year Treasury Spread</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13</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Bank rate on Personal Loans, 24-month/Two-year Treasury Spread</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14</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Citigroup Bond Yields:Credit {Corp} Spread/Finance</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15</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Banks CDS Spread</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16</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 xml:space="preserve">Real Broad Trade-Weighted Exchange Value of the US$ </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17</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Wilshire 5000</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18</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Financial Market Cap (percent of S&amp;P 500)</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19</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Loan Performance National House Price Index (SA)</w:t>
            </w:r>
          </w:p>
        </w:tc>
      </w:tr>
      <w:tr w:rsidR="00F44485" w:rsidRPr="00F44485">
        <w:tc>
          <w:tcPr>
            <w:tcW w:w="366" w:type="pct"/>
          </w:tcPr>
          <w:p w:rsidR="00F44485" w:rsidRPr="006244F8" w:rsidRDefault="00EC1A8B" w:rsidP="007907F5">
            <w:pPr>
              <w:rPr>
                <w:rFonts w:ascii="Times New Roman" w:eastAsia="Calibri" w:hAnsi="Times New Roman"/>
              </w:rPr>
            </w:pPr>
            <w:r w:rsidRPr="006244F8">
              <w:rPr>
                <w:rFonts w:ascii="Times New Roman" w:eastAsia="Calibri" w:hAnsi="Times New Roman"/>
              </w:rPr>
              <w:t>20</w:t>
            </w:r>
          </w:p>
        </w:tc>
        <w:tc>
          <w:tcPr>
            <w:tcW w:w="4634" w:type="pct"/>
          </w:tcPr>
          <w:p w:rsidR="00F44485" w:rsidRPr="006244F8" w:rsidRDefault="00EC1A8B" w:rsidP="007907F5">
            <w:pPr>
              <w:rPr>
                <w:rFonts w:ascii="Times New Roman" w:eastAsia="Calibri" w:hAnsi="Times New Roman"/>
              </w:rPr>
            </w:pPr>
            <w:r w:rsidRPr="006244F8">
              <w:rPr>
                <w:rFonts w:ascii="Times New Roman" w:eastAsia="Calibri" w:hAnsi="Times New Roman"/>
              </w:rPr>
              <w:t>Price of Oil Relative to 2Year MA (PPI Crude Oil)</w:t>
            </w:r>
          </w:p>
        </w:tc>
      </w:tr>
      <w:tr w:rsidR="001A3ED3" w:rsidRPr="00F44485">
        <w:tc>
          <w:tcPr>
            <w:tcW w:w="366" w:type="pct"/>
          </w:tcPr>
          <w:p w:rsidR="001A3ED3" w:rsidRPr="006244F8" w:rsidRDefault="001A3ED3" w:rsidP="007907F5">
            <w:pPr>
              <w:rPr>
                <w:rFonts w:ascii="Times New Roman" w:eastAsia="Calibri" w:hAnsi="Times New Roman"/>
              </w:rPr>
            </w:pPr>
            <w:r w:rsidRPr="006244F8">
              <w:rPr>
                <w:rFonts w:ascii="Times New Roman" w:eastAsia="Calibri" w:hAnsi="Times New Roman"/>
              </w:rPr>
              <w:t>21</w:t>
            </w:r>
          </w:p>
        </w:tc>
        <w:tc>
          <w:tcPr>
            <w:tcW w:w="4634" w:type="pct"/>
          </w:tcPr>
          <w:p w:rsidR="001A3ED3" w:rsidRPr="006244F8" w:rsidRDefault="00EC1A8B" w:rsidP="007907F5">
            <w:pPr>
              <w:rPr>
                <w:rFonts w:ascii="Times New Roman" w:eastAsia="Calibri" w:hAnsi="Times New Roman"/>
              </w:rPr>
            </w:pPr>
            <w:r w:rsidRPr="006244F8">
              <w:rPr>
                <w:rFonts w:ascii="Times New Roman" w:eastAsia="Calibri" w:hAnsi="Times New Roman"/>
              </w:rPr>
              <w:t>Correlation of Returns on Equities and Treasuries</w:t>
            </w:r>
          </w:p>
        </w:tc>
      </w:tr>
      <w:tr w:rsidR="001A3ED3" w:rsidRPr="00F44485">
        <w:tc>
          <w:tcPr>
            <w:tcW w:w="366" w:type="pct"/>
          </w:tcPr>
          <w:p w:rsidR="001A3ED3" w:rsidRPr="006244F8" w:rsidRDefault="001A3ED3" w:rsidP="007907F5">
            <w:pPr>
              <w:rPr>
                <w:rFonts w:ascii="Times New Roman" w:eastAsia="Calibri" w:hAnsi="Times New Roman"/>
              </w:rPr>
            </w:pPr>
            <w:r w:rsidRPr="006244F8">
              <w:rPr>
                <w:rFonts w:ascii="Times New Roman" w:eastAsia="Calibri" w:hAnsi="Times New Roman"/>
              </w:rPr>
              <w:t>22</w:t>
            </w:r>
          </w:p>
        </w:tc>
        <w:tc>
          <w:tcPr>
            <w:tcW w:w="4634" w:type="pct"/>
          </w:tcPr>
          <w:p w:rsidR="001A3ED3" w:rsidRPr="006244F8" w:rsidRDefault="00EC1A8B" w:rsidP="007907F5">
            <w:pPr>
              <w:rPr>
                <w:rFonts w:ascii="Times New Roman" w:eastAsia="Calibri" w:hAnsi="Times New Roman"/>
              </w:rPr>
            </w:pPr>
            <w:r w:rsidRPr="006244F8">
              <w:rPr>
                <w:rFonts w:ascii="Times New Roman" w:eastAsia="Calibri" w:hAnsi="Times New Roman"/>
              </w:rPr>
              <w:t>Idiosyncratic Bank Stock Volatility</w:t>
            </w:r>
          </w:p>
        </w:tc>
      </w:tr>
      <w:tr w:rsidR="001A3ED3" w:rsidRPr="00F44485">
        <w:tc>
          <w:tcPr>
            <w:tcW w:w="366" w:type="pct"/>
          </w:tcPr>
          <w:p w:rsidR="001A3ED3" w:rsidRPr="006244F8" w:rsidRDefault="001A3ED3" w:rsidP="007907F5">
            <w:pPr>
              <w:rPr>
                <w:rFonts w:ascii="Times New Roman" w:eastAsia="Calibri" w:hAnsi="Times New Roman"/>
              </w:rPr>
            </w:pPr>
            <w:r w:rsidRPr="006244F8">
              <w:rPr>
                <w:rFonts w:ascii="Times New Roman" w:eastAsia="Calibri" w:hAnsi="Times New Roman"/>
              </w:rPr>
              <w:t>23</w:t>
            </w:r>
          </w:p>
        </w:tc>
        <w:tc>
          <w:tcPr>
            <w:tcW w:w="4634" w:type="pct"/>
          </w:tcPr>
          <w:p w:rsidR="001A3ED3" w:rsidRPr="006244F8" w:rsidRDefault="00EC1A8B" w:rsidP="007907F5">
            <w:pPr>
              <w:rPr>
                <w:rFonts w:ascii="Times New Roman" w:eastAsia="Calibri" w:hAnsi="Times New Roman"/>
              </w:rPr>
            </w:pPr>
            <w:r w:rsidRPr="006244F8">
              <w:rPr>
                <w:rFonts w:ascii="Times New Roman" w:eastAsia="Calibri" w:hAnsi="Times New Roman"/>
              </w:rPr>
              <w:t xml:space="preserve">Monthly Average VIX </w:t>
            </w:r>
          </w:p>
        </w:tc>
      </w:tr>
    </w:tbl>
    <w:p w:rsidR="00730796" w:rsidRDefault="00730796" w:rsidP="007907F5"/>
    <w:p w:rsidR="00F44485" w:rsidRPr="00F44485" w:rsidRDefault="00F44485" w:rsidP="00F44485">
      <w:pPr>
        <w:rPr>
          <w:rFonts w:ascii="Times New Roman" w:hAnsi="Times New Roman"/>
        </w:rPr>
      </w:pPr>
      <w:r>
        <w:rPr>
          <w:rFonts w:ascii="Times New Roman" w:hAnsi="Times New Roman"/>
        </w:rPr>
        <w:t>Quantity</w:t>
      </w:r>
      <w:r w:rsidRPr="00F44485">
        <w:rPr>
          <w:rFonts w:ascii="Times New Roman" w:hAnsi="Times New Roman"/>
        </w:rPr>
        <w:t xml:space="preserve"> Subindex: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8875"/>
      </w:tblGrid>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1</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Bank Credit: All Commercial Banks (SA)</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2</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Commercial Paper Outstanding:All Issuers (SA)</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3</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Commercia</w:t>
            </w:r>
            <w:r w:rsidR="0037019C">
              <w:rPr>
                <w:rFonts w:ascii="Times New Roman" w:eastAsia="Calibri" w:hAnsi="Times New Roman"/>
              </w:rPr>
              <w:t>l Paper Issuance (Relative to 24</w:t>
            </w:r>
            <w:r w:rsidRPr="006244F8">
              <w:rPr>
                <w:rFonts w:ascii="Times New Roman" w:eastAsia="Calibri" w:hAnsi="Times New Roman"/>
              </w:rPr>
              <w:t>Month MA)</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4</w:t>
            </w:r>
          </w:p>
        </w:tc>
        <w:tc>
          <w:tcPr>
            <w:tcW w:w="4634" w:type="pct"/>
          </w:tcPr>
          <w:p w:rsidR="001A3ED3" w:rsidRPr="006244F8" w:rsidRDefault="0037019C" w:rsidP="00930BF6">
            <w:pPr>
              <w:rPr>
                <w:rFonts w:ascii="Times New Roman" w:eastAsia="Calibri" w:hAnsi="Times New Roman"/>
              </w:rPr>
            </w:pPr>
            <w:r>
              <w:rPr>
                <w:rFonts w:ascii="Times New Roman" w:eastAsia="Calibri" w:hAnsi="Times New Roman"/>
              </w:rPr>
              <w:t xml:space="preserve">ABS Issuance (Relative to </w:t>
            </w:r>
            <w:r w:rsidR="00104146">
              <w:rPr>
                <w:rFonts w:ascii="Times New Roman" w:eastAsia="Calibri" w:hAnsi="Times New Roman"/>
              </w:rPr>
              <w:t>24</w:t>
            </w:r>
            <w:r w:rsidR="00EC1A8B" w:rsidRPr="006244F8">
              <w:rPr>
                <w:rFonts w:ascii="Times New Roman" w:eastAsia="Calibri" w:hAnsi="Times New Roman"/>
              </w:rPr>
              <w:t>Month MA)</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5</w:t>
            </w:r>
          </w:p>
        </w:tc>
        <w:tc>
          <w:tcPr>
            <w:tcW w:w="4634" w:type="pct"/>
          </w:tcPr>
          <w:p w:rsidR="001A3ED3" w:rsidRPr="006244F8" w:rsidRDefault="00EC1A8B" w:rsidP="0037019C">
            <w:pPr>
              <w:rPr>
                <w:rFonts w:ascii="Times New Roman" w:eastAsia="Calibri" w:hAnsi="Times New Roman"/>
              </w:rPr>
            </w:pPr>
            <w:r w:rsidRPr="006244F8">
              <w:rPr>
                <w:rFonts w:ascii="Times New Roman" w:eastAsia="Calibri" w:hAnsi="Times New Roman"/>
              </w:rPr>
              <w:t>CMBS Issuance</w:t>
            </w:r>
            <w:r w:rsidR="0037019C">
              <w:rPr>
                <w:rFonts w:ascii="Times New Roman" w:eastAsia="Calibri" w:hAnsi="Times New Roman"/>
              </w:rPr>
              <w:t xml:space="preserve"> (Alert Database) (Relative to 24</w:t>
            </w:r>
            <w:r w:rsidRPr="006244F8">
              <w:rPr>
                <w:rFonts w:ascii="Times New Roman" w:eastAsia="Calibri" w:hAnsi="Times New Roman"/>
              </w:rPr>
              <w:t>Month MA)</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6</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Money Stock:MZM {Zero Maturity} (SA)</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7</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State &amp; local Government:Liability:Credit Market  Instruments (SA)</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8</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Nonfederal Sectors:Liability:Credit Market Debt  Outstanding (SA)</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9</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Private Nonfinancial Debt, SA</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10</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 xml:space="preserve">Total Finance:Liabilities:Security RPs (NSA)  </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11</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 xml:space="preserve">ABS Issuers:Assets; Consumer Credit (NSA) </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12</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 xml:space="preserve">ABS Issuers:Asset; Mortgages on 1-4 Family Structures (NSA) </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13</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 xml:space="preserve">ABS Issuers:Asset; Commercial Mortgages (NSA) </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14</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lang w:val="fr-FR"/>
              </w:rPr>
              <w:t xml:space="preserve">Total Non-monrtgage </w:t>
            </w:r>
            <w:r w:rsidR="0037019C">
              <w:rPr>
                <w:rFonts w:ascii="Times New Roman" w:eastAsia="Calibri" w:hAnsi="Times New Roman"/>
                <w:lang w:val="fr-FR"/>
              </w:rPr>
              <w:t>ABS Issuance (NSA) Relative to 8</w:t>
            </w:r>
            <w:r w:rsidRPr="006244F8">
              <w:rPr>
                <w:rFonts w:ascii="Times New Roman" w:eastAsia="Calibri" w:hAnsi="Times New Roman"/>
                <w:lang w:val="fr-FR"/>
              </w:rPr>
              <w:t>Q MA)</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15</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Broker Dealer Leverage</w:t>
            </w:r>
          </w:p>
        </w:tc>
      </w:tr>
    </w:tbl>
    <w:p w:rsidR="00F44485" w:rsidRDefault="00F44485" w:rsidP="007907F5"/>
    <w:p w:rsidR="00F44485" w:rsidRPr="00F44485" w:rsidRDefault="00F44485" w:rsidP="00F44485">
      <w:pPr>
        <w:rPr>
          <w:rFonts w:ascii="Times New Roman" w:hAnsi="Times New Roman"/>
        </w:rPr>
      </w:pPr>
      <w:r>
        <w:rPr>
          <w:rFonts w:ascii="Times New Roman" w:hAnsi="Times New Roman"/>
        </w:rPr>
        <w:t>Survey</w:t>
      </w:r>
      <w:r w:rsidRPr="00F44485">
        <w:rPr>
          <w:rFonts w:ascii="Times New Roman" w:hAnsi="Times New Roman"/>
        </w:rPr>
        <w:t xml:space="preserve"> Subindex: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8875"/>
      </w:tblGrid>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1</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NFIB:%Reporting that Credit Was Harder to Get Last Time, Net (SA)</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2</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Michigan Survey:Interest Rates/Credit Reason Good/Bad Conditions for Buying Large HH Goods Spread</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3</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Michigan Survey:Interest Rates/Credit Reason for Good/Bad Conditions for Buying Houses Spread</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4</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Michigan Survey:Interest Rates/Credit Reason for Good Less Bad Conditions for Buying Autos Spread</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5</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FRB Sr. Of. Banks Tightening C&amp;I Loans to Large Firms (%)</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6</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FRB Sr. Of.:Banks Tightening C&amp;I Loans to Small Firms (%)</w:t>
            </w:r>
          </w:p>
        </w:tc>
      </w:tr>
      <w:tr w:rsidR="001A3ED3" w:rsidRPr="00F44485">
        <w:tc>
          <w:tcPr>
            <w:tcW w:w="366" w:type="pct"/>
          </w:tcPr>
          <w:p w:rsidR="001A3ED3" w:rsidRPr="006244F8" w:rsidRDefault="001A3ED3" w:rsidP="00930BF6">
            <w:pPr>
              <w:rPr>
                <w:rFonts w:ascii="Times New Roman" w:eastAsia="Calibri" w:hAnsi="Times New Roman"/>
              </w:rPr>
            </w:pPr>
            <w:r w:rsidRPr="006244F8">
              <w:rPr>
                <w:rFonts w:ascii="Times New Roman" w:eastAsia="Calibri" w:hAnsi="Times New Roman"/>
              </w:rPr>
              <w:t>7</w:t>
            </w:r>
          </w:p>
        </w:tc>
        <w:tc>
          <w:tcPr>
            <w:tcW w:w="4634" w:type="pct"/>
          </w:tcPr>
          <w:p w:rsidR="001A3ED3" w:rsidRPr="006244F8" w:rsidRDefault="00EC1A8B" w:rsidP="00930BF6">
            <w:pPr>
              <w:rPr>
                <w:rFonts w:ascii="Times New Roman" w:eastAsia="Calibri" w:hAnsi="Times New Roman"/>
              </w:rPr>
            </w:pPr>
            <w:r w:rsidRPr="006244F8">
              <w:rPr>
                <w:rFonts w:ascii="Times New Roman" w:eastAsia="Calibri" w:hAnsi="Times New Roman"/>
              </w:rPr>
              <w:t>FRB Sr. Of.:Banks Willingness to Lend to Consumers (%)</w:t>
            </w:r>
          </w:p>
        </w:tc>
      </w:tr>
    </w:tbl>
    <w:p w:rsidR="00F44485" w:rsidRDefault="00F44485" w:rsidP="00F44485"/>
    <w:p w:rsidR="00F44485" w:rsidRPr="00F44485" w:rsidRDefault="00F44485" w:rsidP="00F44485">
      <w:pPr>
        <w:rPr>
          <w:rFonts w:ascii="Times New Roman" w:hAnsi="Times New Roman"/>
        </w:rPr>
      </w:pPr>
      <w:r>
        <w:rPr>
          <w:rFonts w:ascii="Times New Roman" w:hAnsi="Times New Roman"/>
        </w:rPr>
        <w:t>Liquidity</w:t>
      </w:r>
      <w:r w:rsidRPr="00F44485">
        <w:rPr>
          <w:rFonts w:ascii="Times New Roman" w:hAnsi="Times New Roman"/>
        </w:rPr>
        <w:t xml:space="preserve"> Subindex: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8875"/>
      </w:tblGrid>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1</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FedFunds/3monthTBill Spread</w:t>
            </w:r>
          </w:p>
        </w:tc>
      </w:tr>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2</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2YrT-note/3monthTbill Spread</w:t>
            </w:r>
          </w:p>
        </w:tc>
      </w:tr>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3</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10YrT-note/3monthTbill Spread</w:t>
            </w:r>
          </w:p>
        </w:tc>
      </w:tr>
    </w:tbl>
    <w:p w:rsidR="00F44485" w:rsidRPr="007907F5" w:rsidRDefault="00F44485" w:rsidP="00F44485"/>
    <w:p w:rsidR="00F44485" w:rsidRPr="00F44485" w:rsidRDefault="00F44485" w:rsidP="00F44485">
      <w:pPr>
        <w:rPr>
          <w:rFonts w:ascii="Times New Roman" w:hAnsi="Times New Roman"/>
        </w:rPr>
      </w:pPr>
      <w:r>
        <w:rPr>
          <w:rFonts w:ascii="Times New Roman" w:hAnsi="Times New Roman"/>
        </w:rPr>
        <w:t>Credit</w:t>
      </w:r>
      <w:r w:rsidRPr="00F44485">
        <w:rPr>
          <w:rFonts w:ascii="Times New Roman" w:hAnsi="Times New Roman"/>
        </w:rPr>
        <w:t xml:space="preserve"> Subindex: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8875"/>
      </w:tblGrid>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1</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Baa/10yr T-note Spread</w:t>
            </w:r>
          </w:p>
        </w:tc>
      </w:tr>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2</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High Yield/Baa Spread</w:t>
            </w:r>
          </w:p>
        </w:tc>
      </w:tr>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3</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Auto finance company loan rate, New Car/2Yr T-note Spread</w:t>
            </w:r>
          </w:p>
        </w:tc>
      </w:tr>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4</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30-yr Conventional mortgage/ 10yr T-note Spread</w:t>
            </w:r>
          </w:p>
        </w:tc>
      </w:tr>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5</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Jumbo/30yr Conventional Spread</w:t>
            </w:r>
          </w:p>
        </w:tc>
      </w:tr>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6</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Citigroup Bond Yields: Credit {Corp}</w:t>
            </w:r>
          </w:p>
        </w:tc>
      </w:tr>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7</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Banks CDS Spread</w:t>
            </w:r>
          </w:p>
        </w:tc>
      </w:tr>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8</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Bank rate on new car loans, 48-month/Two-year Treasury Spread</w:t>
            </w:r>
          </w:p>
        </w:tc>
      </w:tr>
      <w:tr w:rsidR="00F44485" w:rsidRPr="00F44485">
        <w:tc>
          <w:tcPr>
            <w:tcW w:w="366" w:type="pct"/>
          </w:tcPr>
          <w:p w:rsidR="00F44485" w:rsidRPr="006244F8" w:rsidRDefault="007E3F44" w:rsidP="00930BF6">
            <w:pPr>
              <w:rPr>
                <w:rFonts w:ascii="Times New Roman" w:eastAsia="Calibri" w:hAnsi="Times New Roman"/>
              </w:rPr>
            </w:pPr>
            <w:r w:rsidRPr="006244F8">
              <w:rPr>
                <w:rFonts w:ascii="Times New Roman" w:eastAsia="Calibri" w:hAnsi="Times New Roman"/>
              </w:rPr>
              <w:t>9</w:t>
            </w:r>
          </w:p>
        </w:tc>
        <w:tc>
          <w:tcPr>
            <w:tcW w:w="4634" w:type="pct"/>
          </w:tcPr>
          <w:p w:rsidR="00F44485" w:rsidRPr="006244F8" w:rsidRDefault="00930BF6" w:rsidP="00930BF6">
            <w:pPr>
              <w:rPr>
                <w:rFonts w:ascii="Times New Roman" w:eastAsia="Calibri" w:hAnsi="Times New Roman"/>
              </w:rPr>
            </w:pPr>
            <w:r w:rsidRPr="006244F8">
              <w:rPr>
                <w:rFonts w:ascii="Times New Roman" w:eastAsia="Calibri" w:hAnsi="Times New Roman"/>
              </w:rPr>
              <w:t>Bank rate on personal loans, 24-month/Two-year Treasury Spread</w:t>
            </w:r>
          </w:p>
        </w:tc>
      </w:tr>
    </w:tbl>
    <w:p w:rsidR="00F44485" w:rsidRDefault="00F44485" w:rsidP="00F44485"/>
    <w:p w:rsidR="00F44485" w:rsidRPr="007907F5" w:rsidRDefault="00F44485" w:rsidP="00F44485"/>
    <w:p w:rsidR="00802DEA" w:rsidRDefault="00802DEA">
      <w:pPr>
        <w:rPr>
          <w:b/>
        </w:rPr>
      </w:pPr>
      <w:r>
        <w:rPr>
          <w:b/>
        </w:rPr>
        <w:br w:type="page"/>
      </w:r>
    </w:p>
    <w:p w:rsidR="00E96557" w:rsidRPr="00802DEA" w:rsidRDefault="00E96557" w:rsidP="00802DEA">
      <w:pPr>
        <w:rPr>
          <w:rFonts w:ascii="Times New Roman" w:hAnsi="Times New Roman"/>
        </w:rPr>
      </w:pPr>
      <w:r w:rsidRPr="00802DEA">
        <w:rPr>
          <w:rFonts w:ascii="Times New Roman" w:hAnsi="Times New Roman"/>
        </w:rPr>
        <w:t>Data Availability</w:t>
      </w:r>
      <w:r w:rsidR="00802DEA">
        <w:rPr>
          <w:rFonts w:ascii="Times New Roman" w:hAnsi="Times New Roman"/>
        </w:rPr>
        <w:t>:</w:t>
      </w:r>
    </w:p>
    <w:p w:rsidR="00E96557" w:rsidRPr="00802DEA" w:rsidRDefault="00E96557" w:rsidP="00E96557">
      <w:pPr>
        <w:rPr>
          <w:rFonts w:ascii="Times New Roman" w:hAnsi="Times New Roman"/>
        </w:rPr>
      </w:pPr>
    </w:p>
    <w:p w:rsidR="00E96557" w:rsidRPr="00802DEA" w:rsidRDefault="00E96557" w:rsidP="00E96557">
      <w:pPr>
        <w:rPr>
          <w:rFonts w:ascii="Times New Roman" w:hAnsi="Times New Roman"/>
        </w:rPr>
      </w:pPr>
      <w:r w:rsidRPr="00802DEA">
        <w:rPr>
          <w:rFonts w:ascii="Times New Roman" w:hAnsi="Times New Roman"/>
        </w:rPr>
        <w:t xml:space="preserve">The majority of our data are publicly available and </w:t>
      </w:r>
      <w:r w:rsidR="0090642B">
        <w:rPr>
          <w:rFonts w:ascii="Times New Roman" w:hAnsi="Times New Roman"/>
        </w:rPr>
        <w:t>are included in the paper’s replication files</w:t>
      </w:r>
      <w:r w:rsidRPr="00802DEA">
        <w:rPr>
          <w:rFonts w:ascii="Times New Roman" w:hAnsi="Times New Roman"/>
        </w:rPr>
        <w:t>.  However, some series are from proprietary sources; in these cases, the table below indicates the source, series name (where applicable), and calculation.</w:t>
      </w:r>
    </w:p>
    <w:p w:rsidR="00E96557" w:rsidRDefault="00E96557" w:rsidP="00E96557"/>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5"/>
        <w:gridCol w:w="1890"/>
        <w:gridCol w:w="2340"/>
        <w:gridCol w:w="2340"/>
      </w:tblGrid>
      <w:tr w:rsidR="00E96557" w:rsidRPr="004A3ADA" w:rsidTr="0090642B">
        <w:trPr>
          <w:trHeight w:val="300"/>
        </w:trPr>
        <w:tc>
          <w:tcPr>
            <w:tcW w:w="2985" w:type="dxa"/>
            <w:shd w:val="clear" w:color="auto" w:fill="auto"/>
            <w:noWrap/>
            <w:vAlign w:val="bottom"/>
          </w:tcPr>
          <w:p w:rsidR="00E96557" w:rsidRPr="0090642B" w:rsidRDefault="00E96557" w:rsidP="006F1E1B">
            <w:pPr>
              <w:rPr>
                <w:rFonts w:ascii="Arial" w:hAnsi="Arial" w:cs="Arial"/>
                <w:b/>
                <w:bCs/>
                <w:sz w:val="20"/>
                <w:szCs w:val="20"/>
                <w:u w:val="single"/>
              </w:rPr>
            </w:pPr>
            <w:r w:rsidRPr="0090642B">
              <w:rPr>
                <w:rFonts w:ascii="Arial" w:hAnsi="Arial" w:cs="Arial"/>
                <w:b/>
                <w:bCs/>
                <w:sz w:val="20"/>
                <w:szCs w:val="20"/>
                <w:u w:val="single"/>
              </w:rPr>
              <w:t>Description</w:t>
            </w:r>
          </w:p>
        </w:tc>
        <w:tc>
          <w:tcPr>
            <w:tcW w:w="1890" w:type="dxa"/>
            <w:shd w:val="clear" w:color="auto" w:fill="auto"/>
            <w:noWrap/>
            <w:vAlign w:val="bottom"/>
          </w:tcPr>
          <w:p w:rsidR="00E96557" w:rsidRPr="004A3ADA" w:rsidRDefault="00E96557" w:rsidP="006F1E1B">
            <w:pPr>
              <w:rPr>
                <w:rFonts w:ascii="Arial" w:hAnsi="Arial" w:cs="Arial"/>
                <w:b/>
                <w:bCs/>
                <w:color w:val="000000"/>
                <w:sz w:val="20"/>
                <w:szCs w:val="20"/>
                <w:u w:val="single"/>
              </w:rPr>
            </w:pPr>
            <w:r w:rsidRPr="004A3ADA">
              <w:rPr>
                <w:rFonts w:ascii="Arial" w:hAnsi="Arial" w:cs="Arial"/>
                <w:b/>
                <w:bCs/>
                <w:color w:val="000000"/>
                <w:sz w:val="20"/>
                <w:szCs w:val="20"/>
                <w:u w:val="single"/>
              </w:rPr>
              <w:t>Data Source</w:t>
            </w:r>
          </w:p>
        </w:tc>
        <w:tc>
          <w:tcPr>
            <w:tcW w:w="2340" w:type="dxa"/>
            <w:shd w:val="clear" w:color="auto" w:fill="auto"/>
            <w:noWrap/>
            <w:vAlign w:val="bottom"/>
          </w:tcPr>
          <w:p w:rsidR="00E96557" w:rsidRPr="004A3ADA" w:rsidRDefault="00E96557" w:rsidP="006F1E1B">
            <w:pPr>
              <w:rPr>
                <w:rFonts w:ascii="Arial" w:hAnsi="Arial" w:cs="Arial"/>
                <w:b/>
                <w:bCs/>
                <w:color w:val="000000"/>
                <w:sz w:val="20"/>
                <w:szCs w:val="20"/>
                <w:u w:val="single"/>
              </w:rPr>
            </w:pPr>
            <w:r w:rsidRPr="004A3ADA">
              <w:rPr>
                <w:rFonts w:ascii="Arial" w:hAnsi="Arial" w:cs="Arial"/>
                <w:b/>
                <w:bCs/>
                <w:color w:val="000000"/>
                <w:sz w:val="20"/>
                <w:szCs w:val="20"/>
                <w:u w:val="single"/>
              </w:rPr>
              <w:t>Series 1        Less</w:t>
            </w:r>
          </w:p>
        </w:tc>
        <w:tc>
          <w:tcPr>
            <w:tcW w:w="2340" w:type="dxa"/>
            <w:shd w:val="clear" w:color="auto" w:fill="auto"/>
            <w:noWrap/>
            <w:vAlign w:val="bottom"/>
          </w:tcPr>
          <w:p w:rsidR="00E96557" w:rsidRPr="004A3ADA" w:rsidRDefault="00E96557" w:rsidP="006F1E1B">
            <w:pPr>
              <w:rPr>
                <w:rFonts w:ascii="Arial" w:hAnsi="Arial" w:cs="Arial"/>
                <w:b/>
                <w:bCs/>
                <w:color w:val="000000"/>
                <w:sz w:val="20"/>
                <w:szCs w:val="20"/>
                <w:u w:val="single"/>
              </w:rPr>
            </w:pPr>
            <w:r w:rsidRPr="004A3ADA">
              <w:rPr>
                <w:rFonts w:ascii="Arial" w:hAnsi="Arial" w:cs="Arial"/>
                <w:b/>
                <w:bCs/>
                <w:color w:val="000000"/>
                <w:sz w:val="20"/>
                <w:szCs w:val="20"/>
                <w:u w:val="single"/>
              </w:rPr>
              <w:t>Series 2</w:t>
            </w:r>
          </w:p>
        </w:tc>
      </w:tr>
      <w:tr w:rsidR="00E96557" w:rsidRPr="004A3ADA" w:rsidTr="0090642B">
        <w:trPr>
          <w:trHeight w:val="255"/>
        </w:trPr>
        <w:tc>
          <w:tcPr>
            <w:tcW w:w="2985"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High Yield / Baa Spread</w:t>
            </w:r>
          </w:p>
        </w:tc>
        <w:tc>
          <w:tcPr>
            <w:tcW w:w="1890" w:type="dxa"/>
            <w:shd w:val="clear" w:color="auto" w:fill="auto"/>
            <w:noWrap/>
          </w:tcPr>
          <w:p w:rsidR="00E96557" w:rsidRPr="004A3ADA" w:rsidRDefault="00E96557" w:rsidP="006F1E1B">
            <w:pPr>
              <w:rPr>
                <w:rFonts w:ascii="Arial" w:hAnsi="Arial" w:cs="Arial"/>
                <w:color w:val="000000"/>
                <w:sz w:val="20"/>
                <w:szCs w:val="20"/>
              </w:rPr>
            </w:pPr>
            <w:r w:rsidRPr="004A3ADA">
              <w:rPr>
                <w:rFonts w:ascii="Arial" w:hAnsi="Arial" w:cs="Arial"/>
                <w:color w:val="000000"/>
                <w:sz w:val="20"/>
                <w:szCs w:val="20"/>
              </w:rPr>
              <w:t>Haver Analytics</w:t>
            </w:r>
          </w:p>
        </w:tc>
        <w:tc>
          <w:tcPr>
            <w:tcW w:w="2340" w:type="dxa"/>
            <w:shd w:val="clear" w:color="auto" w:fill="auto"/>
            <w:noWrap/>
          </w:tcPr>
          <w:p w:rsidR="00E96557" w:rsidRPr="004A3ADA" w:rsidRDefault="00E96557" w:rsidP="006F1E1B">
            <w:pPr>
              <w:rPr>
                <w:rFonts w:ascii="Arial" w:hAnsi="Arial" w:cs="Arial"/>
                <w:color w:val="000000"/>
                <w:sz w:val="20"/>
                <w:szCs w:val="20"/>
              </w:rPr>
            </w:pPr>
            <w:r w:rsidRPr="004A3ADA">
              <w:rPr>
                <w:rFonts w:ascii="Arial" w:hAnsi="Arial" w:cs="Arial"/>
                <w:color w:val="000000"/>
                <w:sz w:val="20"/>
                <w:szCs w:val="20"/>
              </w:rPr>
              <w:t>FMLHY@USECON</w:t>
            </w:r>
          </w:p>
        </w:tc>
        <w:tc>
          <w:tcPr>
            <w:tcW w:w="2340" w:type="dxa"/>
            <w:shd w:val="clear" w:color="auto" w:fill="auto"/>
            <w:noWrap/>
          </w:tcPr>
          <w:p w:rsidR="00E96557" w:rsidRPr="004A3ADA" w:rsidRDefault="00E96557" w:rsidP="006F1E1B">
            <w:pPr>
              <w:rPr>
                <w:rFonts w:ascii="Arial" w:hAnsi="Arial" w:cs="Arial"/>
                <w:color w:val="000000"/>
                <w:sz w:val="20"/>
                <w:szCs w:val="20"/>
              </w:rPr>
            </w:pPr>
            <w:r w:rsidRPr="004A3ADA">
              <w:rPr>
                <w:rFonts w:ascii="Arial" w:hAnsi="Arial" w:cs="Arial"/>
                <w:color w:val="000000"/>
                <w:sz w:val="20"/>
                <w:szCs w:val="20"/>
              </w:rPr>
              <w:t>FBAA@USECON</w:t>
            </w:r>
          </w:p>
        </w:tc>
      </w:tr>
      <w:tr w:rsidR="00E96557" w:rsidRPr="004A3ADA" w:rsidTr="0090642B">
        <w:trPr>
          <w:trHeight w:val="255"/>
        </w:trPr>
        <w:tc>
          <w:tcPr>
            <w:tcW w:w="2985"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Jumbo/30yr Conventional Spread</w:t>
            </w:r>
          </w:p>
        </w:tc>
        <w:tc>
          <w:tcPr>
            <w:tcW w:w="189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Bloomberg/ Haver Analytics</w:t>
            </w:r>
          </w:p>
        </w:tc>
        <w:tc>
          <w:tcPr>
            <w:tcW w:w="234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ILMJNAVG Index</w:t>
            </w:r>
          </w:p>
        </w:tc>
        <w:tc>
          <w:tcPr>
            <w:tcW w:w="2340" w:type="dxa"/>
            <w:shd w:val="clear" w:color="auto" w:fill="auto"/>
            <w:noWrap/>
          </w:tcPr>
          <w:p w:rsidR="00E96557" w:rsidRPr="004A3ADA" w:rsidRDefault="00E96557" w:rsidP="006F1E1B">
            <w:pPr>
              <w:rPr>
                <w:rFonts w:ascii="Arial" w:hAnsi="Arial" w:cs="Arial"/>
                <w:color w:val="000000"/>
                <w:sz w:val="20"/>
                <w:szCs w:val="20"/>
              </w:rPr>
            </w:pPr>
            <w:r w:rsidRPr="004A3ADA">
              <w:rPr>
                <w:rFonts w:ascii="Arial" w:hAnsi="Arial" w:cs="Arial"/>
                <w:color w:val="000000"/>
                <w:sz w:val="20"/>
                <w:szCs w:val="20"/>
              </w:rPr>
              <w:t>FMC@USECON</w:t>
            </w:r>
          </w:p>
        </w:tc>
      </w:tr>
      <w:tr w:rsidR="00E96557" w:rsidRPr="004A3ADA" w:rsidTr="0090642B">
        <w:trPr>
          <w:trHeight w:val="255"/>
        </w:trPr>
        <w:tc>
          <w:tcPr>
            <w:tcW w:w="2985"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3-month LIBOR/OIS Spread</w:t>
            </w:r>
          </w:p>
        </w:tc>
        <w:tc>
          <w:tcPr>
            <w:tcW w:w="189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Haver Analytics/ Bloomberg (DB)</w:t>
            </w:r>
          </w:p>
        </w:tc>
        <w:tc>
          <w:tcPr>
            <w:tcW w:w="234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FLOD3@USECON</w:t>
            </w:r>
          </w:p>
        </w:tc>
        <w:tc>
          <w:tcPr>
            <w:tcW w:w="2340" w:type="dxa"/>
            <w:shd w:val="clear" w:color="auto" w:fill="auto"/>
            <w:noWrap/>
          </w:tcPr>
          <w:p w:rsidR="00E96557" w:rsidRPr="0090400B" w:rsidRDefault="00E96557" w:rsidP="006F1E1B">
            <w:pPr>
              <w:rPr>
                <w:rFonts w:ascii="Arial" w:hAnsi="Arial" w:cs="Arial"/>
                <w:sz w:val="20"/>
                <w:szCs w:val="20"/>
              </w:rPr>
            </w:pPr>
            <w:r w:rsidRPr="0090400B">
              <w:rPr>
                <w:rFonts w:ascii="Arial" w:hAnsi="Arial" w:cs="Arial"/>
                <w:sz w:val="20"/>
                <w:szCs w:val="20"/>
              </w:rPr>
              <w:t>USSOC CMPT Curncy</w:t>
            </w:r>
          </w:p>
        </w:tc>
      </w:tr>
      <w:tr w:rsidR="00E96557" w:rsidRPr="004A3ADA" w:rsidTr="0090642B">
        <w:trPr>
          <w:trHeight w:val="255"/>
        </w:trPr>
        <w:tc>
          <w:tcPr>
            <w:tcW w:w="2985"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Bank rate on new car loans, 48  months/Two-year Treasury Spread</w:t>
            </w:r>
          </w:p>
        </w:tc>
        <w:tc>
          <w:tcPr>
            <w:tcW w:w="189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Haver Analytics</w:t>
            </w:r>
          </w:p>
        </w:tc>
        <w:tc>
          <w:tcPr>
            <w:tcW w:w="234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FFINC@USECON</w:t>
            </w:r>
          </w:p>
        </w:tc>
        <w:tc>
          <w:tcPr>
            <w:tcW w:w="2340" w:type="dxa"/>
            <w:shd w:val="clear" w:color="auto" w:fill="auto"/>
            <w:noWrap/>
          </w:tcPr>
          <w:p w:rsidR="00E96557" w:rsidRPr="004A3ADA" w:rsidRDefault="00E96557" w:rsidP="006F1E1B">
            <w:pPr>
              <w:rPr>
                <w:rFonts w:ascii="Arial" w:hAnsi="Arial" w:cs="Arial"/>
                <w:color w:val="000000"/>
                <w:sz w:val="20"/>
                <w:szCs w:val="20"/>
              </w:rPr>
            </w:pPr>
            <w:r w:rsidRPr="004A3ADA">
              <w:rPr>
                <w:rFonts w:ascii="Arial" w:hAnsi="Arial" w:cs="Arial"/>
                <w:color w:val="000000"/>
                <w:sz w:val="20"/>
                <w:szCs w:val="20"/>
              </w:rPr>
              <w:t>FCM2@USECON</w:t>
            </w:r>
          </w:p>
        </w:tc>
      </w:tr>
      <w:tr w:rsidR="00E96557" w:rsidRPr="004A3ADA" w:rsidTr="0090642B">
        <w:trPr>
          <w:trHeight w:val="255"/>
        </w:trPr>
        <w:tc>
          <w:tcPr>
            <w:tcW w:w="2985"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Credit spread Corporate/</w:t>
            </w:r>
          </w:p>
          <w:p w:rsidR="00E96557" w:rsidRPr="0090642B" w:rsidRDefault="00E96557" w:rsidP="006F1E1B">
            <w:pPr>
              <w:rPr>
                <w:rFonts w:ascii="Arial" w:hAnsi="Arial" w:cs="Arial"/>
                <w:sz w:val="20"/>
                <w:szCs w:val="20"/>
              </w:rPr>
            </w:pPr>
            <w:r w:rsidRPr="0090642B">
              <w:rPr>
                <w:rFonts w:ascii="Arial" w:hAnsi="Arial" w:cs="Arial"/>
                <w:sz w:val="20"/>
                <w:szCs w:val="20"/>
              </w:rPr>
              <w:t>Financial Sector (Citi)</w:t>
            </w:r>
          </w:p>
        </w:tc>
        <w:tc>
          <w:tcPr>
            <w:tcW w:w="189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Haver Analytics</w:t>
            </w:r>
          </w:p>
        </w:tc>
        <w:tc>
          <w:tcPr>
            <w:tcW w:w="234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SYCF@USECON</w:t>
            </w:r>
          </w:p>
        </w:tc>
        <w:tc>
          <w:tcPr>
            <w:tcW w:w="2340" w:type="dxa"/>
            <w:shd w:val="clear" w:color="auto" w:fill="auto"/>
            <w:noWrap/>
          </w:tcPr>
          <w:p w:rsidR="00E96557" w:rsidRPr="004A3ADA" w:rsidRDefault="00E96557" w:rsidP="006F1E1B">
            <w:pPr>
              <w:rPr>
                <w:rFonts w:ascii="Arial" w:hAnsi="Arial" w:cs="Arial"/>
                <w:color w:val="000000"/>
                <w:sz w:val="20"/>
                <w:szCs w:val="20"/>
              </w:rPr>
            </w:pPr>
            <w:r w:rsidRPr="004A3ADA">
              <w:rPr>
                <w:rFonts w:ascii="Arial" w:hAnsi="Arial" w:cs="Arial"/>
                <w:color w:val="000000"/>
                <w:sz w:val="20"/>
                <w:szCs w:val="20"/>
              </w:rPr>
              <w:t>SYCT@USECON</w:t>
            </w:r>
          </w:p>
        </w:tc>
      </w:tr>
      <w:tr w:rsidR="00E96557" w:rsidRPr="004A3ADA" w:rsidTr="0090642B">
        <w:trPr>
          <w:trHeight w:val="255"/>
        </w:trPr>
        <w:tc>
          <w:tcPr>
            <w:tcW w:w="2985"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Banks CDS Spread</w:t>
            </w:r>
          </w:p>
        </w:tc>
        <w:tc>
          <w:tcPr>
            <w:tcW w:w="189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Bloomberg</w:t>
            </w:r>
          </w:p>
        </w:tc>
        <w:tc>
          <w:tcPr>
            <w:tcW w:w="234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GCDS</w:t>
            </w:r>
          </w:p>
        </w:tc>
        <w:tc>
          <w:tcPr>
            <w:tcW w:w="2340" w:type="dxa"/>
            <w:shd w:val="clear" w:color="auto" w:fill="auto"/>
            <w:noWrap/>
          </w:tcPr>
          <w:p w:rsidR="00E96557" w:rsidRPr="004A3ADA" w:rsidRDefault="00E96557" w:rsidP="006F1E1B">
            <w:pPr>
              <w:rPr>
                <w:rFonts w:ascii="Arial" w:hAnsi="Arial" w:cs="Arial"/>
                <w:color w:val="000000"/>
                <w:sz w:val="20"/>
                <w:szCs w:val="20"/>
              </w:rPr>
            </w:pPr>
          </w:p>
        </w:tc>
      </w:tr>
      <w:tr w:rsidR="00E96557" w:rsidRPr="004A3ADA" w:rsidTr="0090642B">
        <w:trPr>
          <w:trHeight w:val="255"/>
        </w:trPr>
        <w:tc>
          <w:tcPr>
            <w:tcW w:w="2985"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Wilshire 5000 stock price index</w:t>
            </w:r>
          </w:p>
        </w:tc>
        <w:tc>
          <w:tcPr>
            <w:tcW w:w="189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Bloomberg</w:t>
            </w:r>
          </w:p>
        </w:tc>
        <w:tc>
          <w:tcPr>
            <w:tcW w:w="2340" w:type="dxa"/>
            <w:shd w:val="clear" w:color="auto" w:fill="auto"/>
            <w:noWrap/>
          </w:tcPr>
          <w:p w:rsidR="00E96557" w:rsidRPr="0090642B" w:rsidRDefault="00E96557" w:rsidP="006F1E1B">
            <w:pPr>
              <w:rPr>
                <w:rFonts w:ascii="Arial" w:hAnsi="Arial" w:cs="Arial"/>
                <w:sz w:val="20"/>
                <w:szCs w:val="20"/>
              </w:rPr>
            </w:pPr>
            <w:r w:rsidRPr="0090642B">
              <w:rPr>
                <w:rFonts w:ascii="Arial" w:hAnsi="Arial" w:cs="Arial"/>
                <w:sz w:val="20"/>
                <w:szCs w:val="20"/>
              </w:rPr>
              <w:t>W5000FLT</w:t>
            </w:r>
          </w:p>
        </w:tc>
        <w:tc>
          <w:tcPr>
            <w:tcW w:w="2340" w:type="dxa"/>
            <w:shd w:val="clear" w:color="auto" w:fill="auto"/>
            <w:noWrap/>
          </w:tcPr>
          <w:p w:rsidR="00E96557" w:rsidRPr="004A3ADA" w:rsidRDefault="00E96557" w:rsidP="006F1E1B">
            <w:pPr>
              <w:rPr>
                <w:rFonts w:ascii="Arial" w:hAnsi="Arial" w:cs="Arial"/>
                <w:color w:val="000000"/>
                <w:sz w:val="20"/>
                <w:szCs w:val="20"/>
              </w:rPr>
            </w:pPr>
          </w:p>
        </w:tc>
      </w:tr>
      <w:tr w:rsidR="0090642B" w:rsidRPr="004A3ADA" w:rsidTr="0090642B">
        <w:trPr>
          <w:trHeight w:val="255"/>
        </w:trPr>
        <w:tc>
          <w:tcPr>
            <w:tcW w:w="2985" w:type="dxa"/>
            <w:shd w:val="clear" w:color="auto" w:fill="auto"/>
            <w:noWrap/>
          </w:tcPr>
          <w:p w:rsidR="0090642B" w:rsidRPr="0090642B" w:rsidRDefault="0090642B" w:rsidP="00733BDD">
            <w:pPr>
              <w:rPr>
                <w:rFonts w:ascii="Arial" w:hAnsi="Arial" w:cs="Arial"/>
                <w:sz w:val="20"/>
                <w:szCs w:val="20"/>
              </w:rPr>
            </w:pPr>
            <w:r w:rsidRPr="0090642B">
              <w:rPr>
                <w:rFonts w:ascii="Arial" w:hAnsi="Arial" w:cs="Arial"/>
                <w:sz w:val="20"/>
                <w:szCs w:val="20"/>
              </w:rPr>
              <w:t>Financial Market Cap (percent of S&amp;P 500)</w:t>
            </w:r>
          </w:p>
        </w:tc>
        <w:tc>
          <w:tcPr>
            <w:tcW w:w="1890" w:type="dxa"/>
            <w:shd w:val="clear" w:color="auto" w:fill="auto"/>
            <w:noWrap/>
          </w:tcPr>
          <w:p w:rsidR="0090642B" w:rsidRPr="004A3ADA" w:rsidRDefault="0090642B" w:rsidP="00733BDD">
            <w:pPr>
              <w:rPr>
                <w:rFonts w:ascii="Arial" w:hAnsi="Arial" w:cs="Arial"/>
                <w:color w:val="000000"/>
                <w:sz w:val="20"/>
                <w:szCs w:val="20"/>
              </w:rPr>
            </w:pPr>
            <w:r>
              <w:rPr>
                <w:rFonts w:ascii="Arial" w:hAnsi="Arial" w:cs="Arial"/>
                <w:color w:val="000000"/>
                <w:sz w:val="20"/>
                <w:szCs w:val="20"/>
              </w:rPr>
              <w:t>Compustat</w:t>
            </w:r>
          </w:p>
        </w:tc>
        <w:tc>
          <w:tcPr>
            <w:tcW w:w="2340" w:type="dxa"/>
            <w:shd w:val="clear" w:color="auto" w:fill="auto"/>
            <w:noWrap/>
          </w:tcPr>
          <w:p w:rsidR="0090642B" w:rsidRPr="004A3ADA" w:rsidRDefault="0090642B" w:rsidP="00733BDD">
            <w:pPr>
              <w:rPr>
                <w:rFonts w:ascii="Arial" w:hAnsi="Arial" w:cs="Arial"/>
                <w:color w:val="000000"/>
                <w:sz w:val="20"/>
                <w:szCs w:val="20"/>
              </w:rPr>
            </w:pPr>
            <w:r>
              <w:rPr>
                <w:rFonts w:ascii="Arial" w:hAnsi="Arial" w:cs="Arial"/>
                <w:color w:val="000000"/>
                <w:sz w:val="20"/>
                <w:szCs w:val="20"/>
              </w:rPr>
              <w:t>n.a.</w:t>
            </w:r>
          </w:p>
        </w:tc>
        <w:tc>
          <w:tcPr>
            <w:tcW w:w="2340" w:type="dxa"/>
            <w:shd w:val="clear" w:color="auto" w:fill="auto"/>
            <w:noWrap/>
          </w:tcPr>
          <w:p w:rsidR="0090642B" w:rsidRPr="004A3ADA" w:rsidRDefault="0090642B" w:rsidP="00733BDD">
            <w:pPr>
              <w:rPr>
                <w:rFonts w:ascii="Arial" w:hAnsi="Arial" w:cs="Arial"/>
                <w:color w:val="000000"/>
                <w:sz w:val="20"/>
                <w:szCs w:val="20"/>
              </w:rPr>
            </w:pPr>
          </w:p>
        </w:tc>
      </w:tr>
      <w:tr w:rsidR="0090642B" w:rsidRPr="004A3ADA" w:rsidTr="0090642B">
        <w:trPr>
          <w:trHeight w:val="255"/>
        </w:trPr>
        <w:tc>
          <w:tcPr>
            <w:tcW w:w="2985" w:type="dxa"/>
            <w:shd w:val="clear" w:color="auto" w:fill="auto"/>
            <w:noWrap/>
          </w:tcPr>
          <w:p w:rsidR="0090642B" w:rsidRPr="0090642B" w:rsidRDefault="0090642B" w:rsidP="00733BDD">
            <w:pPr>
              <w:rPr>
                <w:rFonts w:ascii="Arial" w:hAnsi="Arial" w:cs="Arial"/>
                <w:sz w:val="20"/>
                <w:szCs w:val="20"/>
              </w:rPr>
            </w:pPr>
            <w:r w:rsidRPr="0090642B">
              <w:rPr>
                <w:rFonts w:ascii="Arial" w:hAnsi="Arial" w:cs="Arial"/>
                <w:sz w:val="20"/>
                <w:szCs w:val="20"/>
              </w:rPr>
              <w:t>Loan Performance National House Price Index (SA)</w:t>
            </w:r>
          </w:p>
        </w:tc>
        <w:tc>
          <w:tcPr>
            <w:tcW w:w="1890" w:type="dxa"/>
            <w:shd w:val="clear" w:color="auto" w:fill="auto"/>
            <w:noWrap/>
          </w:tcPr>
          <w:p w:rsidR="0090642B" w:rsidRPr="004A3ADA" w:rsidRDefault="0090642B" w:rsidP="00733BDD">
            <w:pPr>
              <w:rPr>
                <w:rFonts w:ascii="Arial" w:hAnsi="Arial" w:cs="Arial"/>
                <w:color w:val="000000"/>
                <w:sz w:val="20"/>
                <w:szCs w:val="20"/>
              </w:rPr>
            </w:pPr>
            <w:r w:rsidRPr="004A3ADA">
              <w:rPr>
                <w:rFonts w:ascii="Arial" w:hAnsi="Arial" w:cs="Arial"/>
                <w:color w:val="000000"/>
                <w:sz w:val="20"/>
                <w:szCs w:val="20"/>
              </w:rPr>
              <w:t>Haver Analytics</w:t>
            </w:r>
          </w:p>
        </w:tc>
        <w:tc>
          <w:tcPr>
            <w:tcW w:w="234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USLPHPIS@USECON</w:t>
            </w:r>
          </w:p>
        </w:tc>
        <w:tc>
          <w:tcPr>
            <w:tcW w:w="2340" w:type="dxa"/>
            <w:shd w:val="clear" w:color="auto" w:fill="auto"/>
            <w:noWrap/>
          </w:tcPr>
          <w:p w:rsidR="0090642B" w:rsidRPr="004A3ADA" w:rsidRDefault="0090642B" w:rsidP="006F1E1B">
            <w:pPr>
              <w:rPr>
                <w:rFonts w:ascii="Arial" w:hAnsi="Arial" w:cs="Arial"/>
                <w:color w:val="000000"/>
                <w:sz w:val="20"/>
                <w:szCs w:val="20"/>
              </w:rPr>
            </w:pPr>
          </w:p>
        </w:tc>
      </w:tr>
      <w:tr w:rsidR="0090642B" w:rsidRPr="004A3ADA" w:rsidTr="0090642B">
        <w:trPr>
          <w:trHeight w:val="255"/>
        </w:trPr>
        <w:tc>
          <w:tcPr>
            <w:tcW w:w="2985" w:type="dxa"/>
            <w:shd w:val="clear" w:color="auto" w:fill="auto"/>
            <w:noWrap/>
          </w:tcPr>
          <w:p w:rsidR="0090642B" w:rsidRPr="0090642B" w:rsidRDefault="0090642B" w:rsidP="006C676C">
            <w:pPr>
              <w:rPr>
                <w:rFonts w:ascii="Arial" w:hAnsi="Arial" w:cs="Arial"/>
                <w:sz w:val="20"/>
                <w:szCs w:val="20"/>
              </w:rPr>
            </w:pPr>
            <w:r w:rsidRPr="0090642B">
              <w:rPr>
                <w:rFonts w:ascii="Arial" w:hAnsi="Arial" w:cs="Arial"/>
                <w:sz w:val="20"/>
                <w:szCs w:val="20"/>
              </w:rPr>
              <w:t xml:space="preserve">ABS Issuance (Relative to </w:t>
            </w:r>
            <w:r w:rsidR="006C676C">
              <w:rPr>
                <w:rFonts w:ascii="Arial" w:hAnsi="Arial" w:cs="Arial"/>
                <w:sz w:val="20"/>
                <w:szCs w:val="20"/>
              </w:rPr>
              <w:t>24</w:t>
            </w:r>
            <w:r w:rsidRPr="0090642B">
              <w:rPr>
                <w:rFonts w:ascii="Arial" w:hAnsi="Arial" w:cs="Arial"/>
                <w:sz w:val="20"/>
                <w:szCs w:val="20"/>
              </w:rPr>
              <w:t xml:space="preserve"> Month MA)</w:t>
            </w:r>
          </w:p>
        </w:tc>
        <w:tc>
          <w:tcPr>
            <w:tcW w:w="189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Bloomberg</w:t>
            </w:r>
          </w:p>
        </w:tc>
        <w:tc>
          <w:tcPr>
            <w:tcW w:w="234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IABS</w:t>
            </w:r>
          </w:p>
        </w:tc>
        <w:tc>
          <w:tcPr>
            <w:tcW w:w="2340" w:type="dxa"/>
            <w:shd w:val="clear" w:color="auto" w:fill="auto"/>
            <w:noWrap/>
          </w:tcPr>
          <w:p w:rsidR="0090642B" w:rsidRPr="004A3ADA" w:rsidRDefault="0090642B" w:rsidP="006F1E1B">
            <w:pPr>
              <w:rPr>
                <w:rFonts w:ascii="Arial" w:hAnsi="Arial" w:cs="Arial"/>
                <w:color w:val="000000"/>
                <w:sz w:val="20"/>
                <w:szCs w:val="20"/>
              </w:rPr>
            </w:pPr>
          </w:p>
        </w:tc>
      </w:tr>
      <w:tr w:rsidR="0090642B" w:rsidRPr="004A3ADA" w:rsidTr="0090642B">
        <w:trPr>
          <w:trHeight w:val="255"/>
        </w:trPr>
        <w:tc>
          <w:tcPr>
            <w:tcW w:w="2985" w:type="dxa"/>
            <w:shd w:val="clear" w:color="auto" w:fill="auto"/>
            <w:noWrap/>
          </w:tcPr>
          <w:p w:rsidR="0090642B" w:rsidRPr="0090642B" w:rsidRDefault="0090642B" w:rsidP="006F1E1B">
            <w:pPr>
              <w:rPr>
                <w:rFonts w:ascii="Arial" w:hAnsi="Arial" w:cs="Arial"/>
                <w:sz w:val="20"/>
                <w:szCs w:val="20"/>
              </w:rPr>
            </w:pPr>
            <w:r w:rsidRPr="0090642B">
              <w:rPr>
                <w:rFonts w:ascii="Arial" w:hAnsi="Arial" w:cs="Arial"/>
                <w:sz w:val="20"/>
                <w:szCs w:val="20"/>
              </w:rPr>
              <w:t xml:space="preserve">CMBS Issuance </w:t>
            </w:r>
            <w:r w:rsidR="00AA7B5D">
              <w:rPr>
                <w:rFonts w:ascii="Arial" w:hAnsi="Arial" w:cs="Arial"/>
                <w:sz w:val="20"/>
                <w:szCs w:val="20"/>
              </w:rPr>
              <w:t>(Alert Database) (Relative to 24</w:t>
            </w:r>
            <w:r w:rsidRPr="0090642B">
              <w:rPr>
                <w:rFonts w:ascii="Arial" w:hAnsi="Arial" w:cs="Arial"/>
                <w:sz w:val="20"/>
                <w:szCs w:val="20"/>
              </w:rPr>
              <w:t>Month MA)</w:t>
            </w:r>
          </w:p>
        </w:tc>
        <w:tc>
          <w:tcPr>
            <w:tcW w:w="1890" w:type="dxa"/>
            <w:shd w:val="clear" w:color="auto" w:fill="auto"/>
            <w:noWrap/>
          </w:tcPr>
          <w:p w:rsidR="0090642B" w:rsidRPr="0090400B" w:rsidRDefault="0090642B" w:rsidP="006F1E1B">
            <w:pPr>
              <w:rPr>
                <w:rFonts w:ascii="Arial" w:hAnsi="Arial" w:cs="Arial"/>
                <w:sz w:val="20"/>
                <w:szCs w:val="20"/>
              </w:rPr>
            </w:pPr>
            <w:r w:rsidRPr="0090400B">
              <w:rPr>
                <w:rFonts w:ascii="Arial" w:hAnsi="Arial" w:cs="Arial"/>
                <w:sz w:val="20"/>
                <w:szCs w:val="20"/>
              </w:rPr>
              <w:t>SIFMA</w:t>
            </w:r>
          </w:p>
        </w:tc>
        <w:tc>
          <w:tcPr>
            <w:tcW w:w="2340" w:type="dxa"/>
            <w:shd w:val="clear" w:color="auto" w:fill="auto"/>
            <w:noWrap/>
          </w:tcPr>
          <w:p w:rsidR="0090642B" w:rsidRPr="0090400B" w:rsidRDefault="0090642B" w:rsidP="006F1E1B">
            <w:pPr>
              <w:rPr>
                <w:rFonts w:ascii="Arial" w:hAnsi="Arial" w:cs="Arial"/>
                <w:sz w:val="20"/>
                <w:szCs w:val="20"/>
              </w:rPr>
            </w:pPr>
            <w:r>
              <w:rPr>
                <w:rFonts w:ascii="Arial" w:hAnsi="Arial" w:cs="Arial"/>
                <w:sz w:val="20"/>
                <w:szCs w:val="20"/>
              </w:rPr>
              <w:t>n.a.</w:t>
            </w:r>
          </w:p>
        </w:tc>
        <w:tc>
          <w:tcPr>
            <w:tcW w:w="2340" w:type="dxa"/>
            <w:shd w:val="clear" w:color="auto" w:fill="auto"/>
            <w:noWrap/>
          </w:tcPr>
          <w:p w:rsidR="0090642B" w:rsidRPr="0090400B" w:rsidRDefault="0090642B" w:rsidP="006F1E1B">
            <w:pPr>
              <w:rPr>
                <w:rFonts w:ascii="Arial" w:hAnsi="Arial" w:cs="Arial"/>
                <w:sz w:val="20"/>
                <w:szCs w:val="20"/>
              </w:rPr>
            </w:pPr>
          </w:p>
        </w:tc>
      </w:tr>
      <w:tr w:rsidR="0090642B" w:rsidRPr="004A3ADA" w:rsidTr="0090642B">
        <w:trPr>
          <w:trHeight w:val="255"/>
        </w:trPr>
        <w:tc>
          <w:tcPr>
            <w:tcW w:w="2985" w:type="dxa"/>
            <w:shd w:val="clear" w:color="auto" w:fill="auto"/>
            <w:noWrap/>
          </w:tcPr>
          <w:p w:rsidR="0090642B" w:rsidRPr="0090642B" w:rsidRDefault="0090642B" w:rsidP="006F1E1B">
            <w:pPr>
              <w:rPr>
                <w:rFonts w:ascii="Arial" w:hAnsi="Arial" w:cs="Arial"/>
                <w:sz w:val="20"/>
                <w:szCs w:val="20"/>
              </w:rPr>
            </w:pPr>
            <w:r w:rsidRPr="0090642B">
              <w:rPr>
                <w:rFonts w:ascii="Arial" w:hAnsi="Arial" w:cs="Arial"/>
                <w:sz w:val="20"/>
                <w:szCs w:val="20"/>
              </w:rPr>
              <w:t>Total Non-mortgage</w:t>
            </w:r>
            <w:r w:rsidR="007E3CAE">
              <w:rPr>
                <w:rFonts w:ascii="Arial" w:hAnsi="Arial" w:cs="Arial"/>
                <w:sz w:val="20"/>
                <w:szCs w:val="20"/>
              </w:rPr>
              <w:t xml:space="preserve"> ABS Issuance (NSA Relative to 8</w:t>
            </w:r>
            <w:r w:rsidRPr="0090642B">
              <w:rPr>
                <w:rFonts w:ascii="Arial" w:hAnsi="Arial" w:cs="Arial"/>
                <w:sz w:val="20"/>
                <w:szCs w:val="20"/>
              </w:rPr>
              <w:t>Q MA)</w:t>
            </w:r>
          </w:p>
        </w:tc>
        <w:tc>
          <w:tcPr>
            <w:tcW w:w="1890" w:type="dxa"/>
            <w:shd w:val="clear" w:color="auto" w:fill="auto"/>
            <w:noWrap/>
          </w:tcPr>
          <w:p w:rsidR="0090642B" w:rsidRPr="0090400B" w:rsidRDefault="0090642B" w:rsidP="006F1E1B">
            <w:pPr>
              <w:rPr>
                <w:rFonts w:ascii="Arial" w:hAnsi="Arial" w:cs="Arial"/>
                <w:sz w:val="20"/>
                <w:szCs w:val="20"/>
              </w:rPr>
            </w:pPr>
            <w:r w:rsidRPr="0090400B">
              <w:rPr>
                <w:rFonts w:ascii="Arial" w:hAnsi="Arial" w:cs="Arial"/>
                <w:sz w:val="20"/>
                <w:szCs w:val="20"/>
              </w:rPr>
              <w:t>SIFMA</w:t>
            </w:r>
          </w:p>
        </w:tc>
        <w:tc>
          <w:tcPr>
            <w:tcW w:w="2340" w:type="dxa"/>
            <w:shd w:val="clear" w:color="auto" w:fill="auto"/>
            <w:noWrap/>
          </w:tcPr>
          <w:p w:rsidR="0090642B" w:rsidRPr="0090400B" w:rsidRDefault="0090642B" w:rsidP="006F1E1B">
            <w:pPr>
              <w:rPr>
                <w:rFonts w:ascii="Arial" w:hAnsi="Arial" w:cs="Arial"/>
                <w:sz w:val="20"/>
                <w:szCs w:val="20"/>
              </w:rPr>
            </w:pPr>
            <w:r>
              <w:rPr>
                <w:rFonts w:ascii="Arial" w:hAnsi="Arial" w:cs="Arial"/>
                <w:sz w:val="20"/>
                <w:szCs w:val="20"/>
              </w:rPr>
              <w:t>n.a.</w:t>
            </w:r>
          </w:p>
        </w:tc>
        <w:tc>
          <w:tcPr>
            <w:tcW w:w="2340" w:type="dxa"/>
            <w:shd w:val="clear" w:color="auto" w:fill="auto"/>
            <w:noWrap/>
          </w:tcPr>
          <w:p w:rsidR="0090642B" w:rsidRPr="0090400B" w:rsidRDefault="0090642B" w:rsidP="006F1E1B">
            <w:pPr>
              <w:rPr>
                <w:rFonts w:ascii="Arial" w:hAnsi="Arial" w:cs="Arial"/>
                <w:sz w:val="20"/>
                <w:szCs w:val="20"/>
              </w:rPr>
            </w:pPr>
          </w:p>
        </w:tc>
      </w:tr>
      <w:tr w:rsidR="0090642B" w:rsidRPr="004A3ADA" w:rsidTr="0090642B">
        <w:trPr>
          <w:trHeight w:val="255"/>
        </w:trPr>
        <w:tc>
          <w:tcPr>
            <w:tcW w:w="2985" w:type="dxa"/>
            <w:shd w:val="clear" w:color="auto" w:fill="auto"/>
            <w:noWrap/>
          </w:tcPr>
          <w:p w:rsidR="0090642B" w:rsidRPr="0090642B" w:rsidRDefault="0090642B" w:rsidP="006F1E1B">
            <w:pPr>
              <w:rPr>
                <w:rFonts w:ascii="Arial" w:hAnsi="Arial" w:cs="Arial"/>
                <w:sz w:val="20"/>
                <w:szCs w:val="20"/>
              </w:rPr>
            </w:pPr>
            <w:r w:rsidRPr="0090642B">
              <w:rPr>
                <w:rFonts w:ascii="Arial" w:hAnsi="Arial" w:cs="Arial"/>
                <w:sz w:val="20"/>
                <w:szCs w:val="20"/>
              </w:rPr>
              <w:t>NFIB: % Reporting that credit was harder to get last time, Net (SA)</w:t>
            </w:r>
          </w:p>
        </w:tc>
        <w:tc>
          <w:tcPr>
            <w:tcW w:w="189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Haver Analytics</w:t>
            </w:r>
          </w:p>
        </w:tc>
        <w:tc>
          <w:tcPr>
            <w:tcW w:w="234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NFIB20@SURVEYS</w:t>
            </w:r>
          </w:p>
        </w:tc>
        <w:tc>
          <w:tcPr>
            <w:tcW w:w="2340" w:type="dxa"/>
            <w:shd w:val="clear" w:color="auto" w:fill="auto"/>
            <w:noWrap/>
          </w:tcPr>
          <w:p w:rsidR="0090642B" w:rsidRPr="004A3ADA" w:rsidRDefault="0090642B" w:rsidP="006F1E1B">
            <w:pPr>
              <w:rPr>
                <w:rFonts w:ascii="Arial" w:hAnsi="Arial" w:cs="Arial"/>
                <w:color w:val="000000"/>
                <w:sz w:val="20"/>
                <w:szCs w:val="20"/>
              </w:rPr>
            </w:pPr>
          </w:p>
        </w:tc>
      </w:tr>
      <w:tr w:rsidR="0090642B" w:rsidRPr="004A3ADA" w:rsidTr="0090642B">
        <w:trPr>
          <w:trHeight w:val="255"/>
        </w:trPr>
        <w:tc>
          <w:tcPr>
            <w:tcW w:w="2985" w:type="dxa"/>
            <w:shd w:val="clear" w:color="auto" w:fill="auto"/>
            <w:noWrap/>
          </w:tcPr>
          <w:p w:rsidR="0090642B" w:rsidRPr="0090642B" w:rsidRDefault="0090642B" w:rsidP="006F1E1B">
            <w:pPr>
              <w:rPr>
                <w:rFonts w:ascii="Arial" w:hAnsi="Arial" w:cs="Arial"/>
                <w:sz w:val="20"/>
                <w:szCs w:val="20"/>
              </w:rPr>
            </w:pPr>
            <w:r w:rsidRPr="0090642B">
              <w:rPr>
                <w:rFonts w:ascii="Arial" w:hAnsi="Arial" w:cs="Arial"/>
                <w:sz w:val="20"/>
                <w:szCs w:val="20"/>
              </w:rPr>
              <w:t>Michigan: Interest rates/credit reason good/bad conditions for buying Large HH Goods Spread</w:t>
            </w:r>
          </w:p>
        </w:tc>
        <w:tc>
          <w:tcPr>
            <w:tcW w:w="189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Haver Analytics</w:t>
            </w:r>
          </w:p>
        </w:tc>
        <w:tc>
          <w:tcPr>
            <w:tcW w:w="234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MCCPLW2@UMSCA</w:t>
            </w:r>
          </w:p>
        </w:tc>
        <w:tc>
          <w:tcPr>
            <w:tcW w:w="234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MCCPLB3@UMSCA</w:t>
            </w:r>
          </w:p>
        </w:tc>
      </w:tr>
      <w:tr w:rsidR="0090642B" w:rsidRPr="004A3ADA" w:rsidTr="0090642B">
        <w:trPr>
          <w:trHeight w:val="255"/>
        </w:trPr>
        <w:tc>
          <w:tcPr>
            <w:tcW w:w="2985" w:type="dxa"/>
            <w:shd w:val="clear" w:color="auto" w:fill="auto"/>
            <w:noWrap/>
          </w:tcPr>
          <w:p w:rsidR="0090642B" w:rsidRPr="0090642B" w:rsidRDefault="0090642B" w:rsidP="006F1E1B">
            <w:pPr>
              <w:rPr>
                <w:rFonts w:ascii="Arial" w:hAnsi="Arial" w:cs="Arial"/>
                <w:sz w:val="20"/>
                <w:szCs w:val="20"/>
              </w:rPr>
            </w:pPr>
            <w:r w:rsidRPr="0090642B">
              <w:rPr>
                <w:rFonts w:ascii="Arial" w:hAnsi="Arial" w:cs="Arial"/>
                <w:sz w:val="20"/>
                <w:szCs w:val="20"/>
              </w:rPr>
              <w:t>Michigan: Interest rates/credit reason for good/bad conditions for buying houses spread</w:t>
            </w:r>
          </w:p>
        </w:tc>
        <w:tc>
          <w:tcPr>
            <w:tcW w:w="189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Haver Analytics</w:t>
            </w:r>
          </w:p>
        </w:tc>
        <w:tc>
          <w:tcPr>
            <w:tcW w:w="234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MCCPHW2@UMSCA</w:t>
            </w:r>
          </w:p>
        </w:tc>
        <w:tc>
          <w:tcPr>
            <w:tcW w:w="234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MCCPHB3@UMSCA</w:t>
            </w:r>
          </w:p>
        </w:tc>
      </w:tr>
      <w:tr w:rsidR="0090642B" w:rsidRPr="004A3ADA" w:rsidTr="0090642B">
        <w:trPr>
          <w:trHeight w:val="255"/>
        </w:trPr>
        <w:tc>
          <w:tcPr>
            <w:tcW w:w="2985" w:type="dxa"/>
            <w:shd w:val="clear" w:color="auto" w:fill="auto"/>
            <w:noWrap/>
          </w:tcPr>
          <w:p w:rsidR="0090642B" w:rsidRPr="0090642B" w:rsidRDefault="0090642B" w:rsidP="006F1E1B">
            <w:pPr>
              <w:rPr>
                <w:rFonts w:ascii="Arial" w:hAnsi="Arial" w:cs="Arial"/>
                <w:sz w:val="20"/>
                <w:szCs w:val="20"/>
              </w:rPr>
            </w:pPr>
            <w:r w:rsidRPr="0090642B">
              <w:rPr>
                <w:rFonts w:ascii="Arial" w:hAnsi="Arial" w:cs="Arial"/>
                <w:sz w:val="20"/>
                <w:szCs w:val="20"/>
              </w:rPr>
              <w:t>Michigan: Interest rates/credit reason for good less bad conditions for buying autos spread</w:t>
            </w:r>
          </w:p>
        </w:tc>
        <w:tc>
          <w:tcPr>
            <w:tcW w:w="189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Haver Analytics</w:t>
            </w:r>
          </w:p>
        </w:tc>
        <w:tc>
          <w:tcPr>
            <w:tcW w:w="234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MCCPVW2@UMSCA</w:t>
            </w:r>
          </w:p>
        </w:tc>
        <w:tc>
          <w:tcPr>
            <w:tcW w:w="2340" w:type="dxa"/>
            <w:shd w:val="clear" w:color="auto" w:fill="auto"/>
            <w:noWrap/>
          </w:tcPr>
          <w:p w:rsidR="0090642B" w:rsidRPr="004A3ADA" w:rsidRDefault="0090642B" w:rsidP="006F1E1B">
            <w:pPr>
              <w:rPr>
                <w:rFonts w:ascii="Arial" w:hAnsi="Arial" w:cs="Arial"/>
                <w:color w:val="000000"/>
                <w:sz w:val="20"/>
                <w:szCs w:val="20"/>
              </w:rPr>
            </w:pPr>
            <w:r w:rsidRPr="004A3ADA">
              <w:rPr>
                <w:rFonts w:ascii="Arial" w:hAnsi="Arial" w:cs="Arial"/>
                <w:color w:val="000000"/>
                <w:sz w:val="20"/>
                <w:szCs w:val="20"/>
              </w:rPr>
              <w:t>MCCPVB3@UMSCA</w:t>
            </w:r>
          </w:p>
        </w:tc>
      </w:tr>
    </w:tbl>
    <w:p w:rsidR="00E96557" w:rsidRDefault="00E96557" w:rsidP="00E96557"/>
    <w:p w:rsidR="00E96557" w:rsidRPr="007907F5" w:rsidRDefault="00E96557" w:rsidP="00E96557"/>
    <w:p w:rsidR="00F44485" w:rsidRDefault="00F44485" w:rsidP="007907F5"/>
    <w:p w:rsidR="00C865F2" w:rsidRDefault="00C865F2" w:rsidP="007907F5"/>
    <w:p w:rsidR="00C865F2" w:rsidRDefault="00C865F2" w:rsidP="007907F5"/>
    <w:p w:rsidR="00F016CC" w:rsidRDefault="00C865F2" w:rsidP="00C865F2">
      <w:pPr>
        <w:jc w:val="center"/>
        <w:rPr>
          <w:rFonts w:ascii="Times New Roman" w:hAnsi="Times New Roman"/>
          <w:b/>
        </w:rPr>
      </w:pPr>
      <w:r>
        <w:rPr>
          <w:rFonts w:ascii="Times New Roman" w:hAnsi="Times New Roman"/>
          <w:b/>
        </w:rPr>
        <w:t xml:space="preserve">  </w:t>
      </w:r>
    </w:p>
    <w:p w:rsidR="00F016CC" w:rsidRDefault="00F016CC">
      <w:pPr>
        <w:rPr>
          <w:rFonts w:ascii="Times New Roman" w:hAnsi="Times New Roman"/>
          <w:b/>
        </w:rPr>
      </w:pPr>
      <w:r>
        <w:rPr>
          <w:rFonts w:ascii="Times New Roman" w:hAnsi="Times New Roman"/>
          <w:b/>
        </w:rPr>
        <w:br w:type="page"/>
      </w:r>
    </w:p>
    <w:p w:rsidR="00C865F2" w:rsidRPr="00123E88" w:rsidRDefault="00C865F2" w:rsidP="00C865F2">
      <w:pPr>
        <w:jc w:val="center"/>
        <w:rPr>
          <w:rFonts w:ascii="Times New Roman" w:hAnsi="Times New Roman"/>
          <w:b/>
        </w:rPr>
      </w:pPr>
      <w:r w:rsidRPr="00CD186A">
        <w:rPr>
          <w:rFonts w:ascii="Times New Roman" w:hAnsi="Times New Roman"/>
          <w:b/>
        </w:rPr>
        <w:t>Table 3.1:Results from In-Sample Regressions</w:t>
      </w:r>
    </w:p>
    <w:p w:rsidR="00C865F2" w:rsidRPr="00123E88" w:rsidRDefault="00C865F2" w:rsidP="00C865F2">
      <w:pPr>
        <w:jc w:val="center"/>
        <w:rPr>
          <w:rFonts w:ascii="Times New Roman" w:hAnsi="Times New Roman"/>
          <w:b/>
        </w:rPr>
      </w:pPr>
      <w:r w:rsidRPr="00CD186A">
        <w:rPr>
          <w:rFonts w:ascii="Times New Roman" w:hAnsi="Times New Roman"/>
          <w:b/>
        </w:rPr>
        <w:t>1961:1 – 2006:IV</w:t>
      </w:r>
    </w:p>
    <w:p w:rsidR="00C865F2" w:rsidRPr="007B408D" w:rsidRDefault="00C865F2" w:rsidP="00C865F2">
      <w:pPr>
        <w:jc w:val="center"/>
      </w:pPr>
      <w:r w:rsidRPr="007B408D">
        <w:rPr>
          <w:position w:val="-28"/>
        </w:rPr>
        <w:t xml:space="preserve">       </w:t>
      </w:r>
      <w:r w:rsidRPr="007B408D">
        <w:rPr>
          <w:position w:val="-28"/>
        </w:rPr>
        <w:object w:dxaOrig="4200" w:dyaOrig="680">
          <v:shape id="_x0000_i1031" type="#_x0000_t75" style="width:210.55pt;height:32.75pt" o:ole="">
            <v:imagedata r:id="rId20" o:title=""/>
          </v:shape>
          <o:OLEObject Type="Embed" ProgID="Equation.DSMT4" ShapeID="_x0000_i1031" DrawAspect="Content" ObjectID="_1332680860" r:id="rId21"/>
        </w:object>
      </w:r>
    </w:p>
    <w:p w:rsidR="00C865F2" w:rsidRDefault="00C865F2" w:rsidP="00C865F2">
      <w:pPr>
        <w:jc w:val="center"/>
        <w:rPr>
          <w:rFonts w:ascii="Arial" w:hAnsi="Arial" w:cs="Arial"/>
          <w:sz w:val="20"/>
          <w:szCs w:val="20"/>
        </w:rPr>
      </w:pPr>
    </w:p>
    <w:p w:rsidR="00C865F2" w:rsidRPr="000F3EFB" w:rsidRDefault="00C865F2" w:rsidP="00C865F2">
      <w:pPr>
        <w:jc w:val="center"/>
        <w:rPr>
          <w:rFonts w:ascii="Arial" w:hAnsi="Arial" w:cs="Arial"/>
          <w:sz w:val="20"/>
          <w:szCs w:val="20"/>
        </w:rPr>
      </w:pPr>
      <w:r w:rsidRPr="000F3EFB">
        <w:rPr>
          <w:rFonts w:ascii="Arial" w:hAnsi="Arial" w:cs="Arial"/>
          <w:sz w:val="20"/>
          <w:szCs w:val="20"/>
        </w:rPr>
        <w:t xml:space="preserve">(a) </w:t>
      </w:r>
      <w:r w:rsidRPr="000F3EFB">
        <w:rPr>
          <w:rFonts w:ascii="Arial" w:hAnsi="Arial" w:cs="Arial"/>
          <w:i/>
          <w:sz w:val="20"/>
          <w:szCs w:val="20"/>
        </w:rPr>
        <w:t xml:space="preserve">h </w:t>
      </w:r>
      <w:r w:rsidRPr="000F3EFB">
        <w:rPr>
          <w:rFonts w:ascii="Arial" w:hAnsi="Arial" w:cs="Arial"/>
          <w:sz w:val="20"/>
          <w:szCs w:val="20"/>
        </w:rPr>
        <w:t>= 2</w:t>
      </w:r>
    </w:p>
    <w:tbl>
      <w:tblPr>
        <w:tblW w:w="10765"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7"/>
        <w:gridCol w:w="712"/>
        <w:gridCol w:w="850"/>
        <w:gridCol w:w="850"/>
        <w:gridCol w:w="712"/>
        <w:gridCol w:w="850"/>
        <w:gridCol w:w="850"/>
        <w:gridCol w:w="712"/>
        <w:gridCol w:w="850"/>
        <w:gridCol w:w="850"/>
        <w:gridCol w:w="712"/>
        <w:gridCol w:w="850"/>
        <w:gridCol w:w="850"/>
      </w:tblGrid>
      <w:tr w:rsidR="00C865F2" w:rsidRPr="00B50F02" w:rsidTr="007D13DB">
        <w:tc>
          <w:tcPr>
            <w:tcW w:w="1117" w:type="dxa"/>
          </w:tcPr>
          <w:p w:rsidR="00C865F2" w:rsidRPr="00B50F02" w:rsidRDefault="00C865F2" w:rsidP="007D13DB">
            <w:pPr>
              <w:rPr>
                <w:rFonts w:ascii="Arial" w:hAnsi="Arial" w:cs="Arial"/>
                <w:sz w:val="20"/>
                <w:szCs w:val="20"/>
              </w:rPr>
            </w:pPr>
          </w:p>
        </w:tc>
        <w:tc>
          <w:tcPr>
            <w:tcW w:w="2412" w:type="dxa"/>
            <w:gridSpan w:val="3"/>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Real GDP</w:t>
            </w:r>
          </w:p>
        </w:tc>
        <w:tc>
          <w:tcPr>
            <w:tcW w:w="2412" w:type="dxa"/>
            <w:gridSpan w:val="3"/>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IP</w:t>
            </w:r>
          </w:p>
        </w:tc>
        <w:tc>
          <w:tcPr>
            <w:tcW w:w="2412" w:type="dxa"/>
            <w:gridSpan w:val="3"/>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Employment</w:t>
            </w:r>
          </w:p>
        </w:tc>
        <w:tc>
          <w:tcPr>
            <w:tcW w:w="2412" w:type="dxa"/>
            <w:gridSpan w:val="3"/>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Unemployment Rate</w:t>
            </w:r>
          </w:p>
        </w:tc>
      </w:tr>
      <w:tr w:rsidR="00C865F2" w:rsidRPr="00B50F02" w:rsidTr="007D13DB">
        <w:tc>
          <w:tcPr>
            <w:tcW w:w="1117" w:type="dxa"/>
          </w:tcPr>
          <w:p w:rsidR="00C865F2" w:rsidRPr="00B50F02" w:rsidRDefault="00C865F2" w:rsidP="007D13DB">
            <w:pPr>
              <w:rPr>
                <w:rFonts w:ascii="Arial" w:hAnsi="Arial" w:cs="Arial"/>
                <w:sz w:val="20"/>
                <w:szCs w:val="20"/>
              </w:rPr>
            </w:pPr>
            <w:r>
              <w:rPr>
                <w:rFonts w:ascii="Arial" w:hAnsi="Arial" w:cs="Arial"/>
                <w:sz w:val="20"/>
                <w:szCs w:val="20"/>
              </w:rPr>
              <w:t>Financial Indicator</w:t>
            </w:r>
          </w:p>
        </w:tc>
        <w:tc>
          <w:tcPr>
            <w:tcW w:w="712" w:type="dxa"/>
          </w:tcPr>
          <w:p w:rsidR="00C865F2" w:rsidRPr="00B50F02" w:rsidRDefault="00C865F2" w:rsidP="007D13DB">
            <w:pPr>
              <w:jc w:val="center"/>
              <w:rPr>
                <w:rFonts w:ascii="Arial" w:hAnsi="Arial" w:cs="Arial"/>
                <w:sz w:val="20"/>
                <w:szCs w:val="20"/>
                <w:vertAlign w:val="superscript"/>
              </w:rPr>
            </w:pPr>
            <w:r w:rsidRPr="00A43A48">
              <w:rPr>
                <w:position w:val="-14"/>
              </w:rPr>
              <w:object w:dxaOrig="499" w:dyaOrig="400">
                <v:shape id="_x0000_i1032" type="#_x0000_t75" style="width:24pt;height:20.75pt" o:ole="">
                  <v:imagedata r:id="rId22" o:title=""/>
                </v:shape>
                <o:OLEObject Type="Embed" ProgID="Equation.DSMT4" ShapeID="_x0000_i1032" DrawAspect="Content" ObjectID="_1332680861" r:id="rId23"/>
              </w:objec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F</w: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QLR</w:t>
            </w:r>
          </w:p>
        </w:tc>
        <w:tc>
          <w:tcPr>
            <w:tcW w:w="712" w:type="dxa"/>
          </w:tcPr>
          <w:p w:rsidR="00C865F2" w:rsidRPr="00B50F02" w:rsidRDefault="00C865F2" w:rsidP="007D13DB">
            <w:pPr>
              <w:jc w:val="center"/>
              <w:rPr>
                <w:rFonts w:ascii="Arial" w:hAnsi="Arial" w:cs="Arial"/>
                <w:sz w:val="20"/>
                <w:szCs w:val="20"/>
                <w:vertAlign w:val="superscript"/>
              </w:rPr>
            </w:pPr>
            <w:r w:rsidRPr="00A43A48">
              <w:rPr>
                <w:position w:val="-14"/>
              </w:rPr>
              <w:object w:dxaOrig="499" w:dyaOrig="400">
                <v:shape id="_x0000_i1033" type="#_x0000_t75" style="width:24pt;height:20.75pt" o:ole="">
                  <v:imagedata r:id="rId22" o:title=""/>
                </v:shape>
                <o:OLEObject Type="Embed" ProgID="Equation.DSMT4" ShapeID="_x0000_i1033" DrawAspect="Content" ObjectID="_1332680862" r:id="rId24"/>
              </w:objec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F</w: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QLR</w:t>
            </w:r>
          </w:p>
        </w:tc>
        <w:tc>
          <w:tcPr>
            <w:tcW w:w="712" w:type="dxa"/>
          </w:tcPr>
          <w:p w:rsidR="00C865F2" w:rsidRPr="00B50F02" w:rsidRDefault="00C865F2" w:rsidP="007D13DB">
            <w:pPr>
              <w:jc w:val="center"/>
              <w:rPr>
                <w:rFonts w:ascii="Arial" w:hAnsi="Arial" w:cs="Arial"/>
                <w:sz w:val="20"/>
                <w:szCs w:val="20"/>
                <w:vertAlign w:val="superscript"/>
              </w:rPr>
            </w:pPr>
            <w:r w:rsidRPr="00A43A48">
              <w:rPr>
                <w:position w:val="-14"/>
              </w:rPr>
              <w:object w:dxaOrig="499" w:dyaOrig="400">
                <v:shape id="_x0000_i1034" type="#_x0000_t75" style="width:24pt;height:20.75pt" o:ole="">
                  <v:imagedata r:id="rId22" o:title=""/>
                </v:shape>
                <o:OLEObject Type="Embed" ProgID="Equation.DSMT4" ShapeID="_x0000_i1034" DrawAspect="Content" ObjectID="_1332680863" r:id="rId25"/>
              </w:objec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F</w: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QLR</w:t>
            </w:r>
          </w:p>
        </w:tc>
        <w:tc>
          <w:tcPr>
            <w:tcW w:w="712" w:type="dxa"/>
          </w:tcPr>
          <w:p w:rsidR="00C865F2" w:rsidRPr="00B50F02" w:rsidRDefault="00C865F2" w:rsidP="007D13DB">
            <w:pPr>
              <w:jc w:val="center"/>
              <w:rPr>
                <w:rFonts w:ascii="Arial" w:hAnsi="Arial" w:cs="Arial"/>
                <w:sz w:val="20"/>
                <w:szCs w:val="20"/>
                <w:vertAlign w:val="superscript"/>
              </w:rPr>
            </w:pPr>
            <w:r w:rsidRPr="00A43A48">
              <w:rPr>
                <w:position w:val="-14"/>
              </w:rPr>
              <w:object w:dxaOrig="499" w:dyaOrig="400">
                <v:shape id="_x0000_i1035" type="#_x0000_t75" style="width:24pt;height:20.75pt" o:ole="">
                  <v:imagedata r:id="rId22" o:title=""/>
                </v:shape>
                <o:OLEObject Type="Embed" ProgID="Equation.DSMT4" ShapeID="_x0000_i1035" DrawAspect="Content" ObjectID="_1332680864" r:id="rId26"/>
              </w:objec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F</w: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QLR</w:t>
            </w:r>
          </w:p>
        </w:tc>
      </w:tr>
      <w:tr w:rsidR="00C865F2" w:rsidRPr="00B50F02" w:rsidTr="007D13DB">
        <w:tc>
          <w:tcPr>
            <w:tcW w:w="1117" w:type="dxa"/>
          </w:tcPr>
          <w:p w:rsidR="00C865F2" w:rsidRPr="00B50F02" w:rsidRDefault="00C865F2" w:rsidP="007D13DB">
            <w:pPr>
              <w:rPr>
                <w:rFonts w:ascii="Arial" w:hAnsi="Arial" w:cs="Arial"/>
                <w:i/>
                <w:sz w:val="20"/>
                <w:szCs w:val="20"/>
              </w:rPr>
            </w:pPr>
            <w:r w:rsidRPr="00B50F02">
              <w:rPr>
                <w:rFonts w:ascii="Arial" w:hAnsi="Arial" w:cs="Arial"/>
                <w:i/>
                <w:sz w:val="20"/>
                <w:szCs w:val="20"/>
              </w:rPr>
              <w:t>FedFunds</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11.38</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6.12</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(0.002)</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0.14</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8.36</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3.00</w:t>
            </w:r>
          </w:p>
          <w:p w:rsidR="00C865F2" w:rsidRPr="00B50F02" w:rsidRDefault="00C865F2" w:rsidP="007D13DB">
            <w:pPr>
              <w:jc w:val="center"/>
              <w:rPr>
                <w:rFonts w:ascii="Arial" w:hAnsi="Arial" w:cs="Arial"/>
                <w:sz w:val="20"/>
                <w:szCs w:val="20"/>
              </w:rPr>
            </w:pPr>
            <w:r w:rsidRPr="00B50F02">
              <w:rPr>
                <w:rFonts w:ascii="Arial" w:hAnsi="Arial" w:cs="Arial"/>
                <w:sz w:val="20"/>
                <w:szCs w:val="20"/>
              </w:rPr>
              <w:t>(0.212)</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0.07</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7.6</w:t>
            </w:r>
            <w:r>
              <w:rPr>
                <w:rFonts w:ascii="Arial" w:hAnsi="Arial" w:cs="Arial"/>
                <w:sz w:val="20"/>
                <w:szCs w:val="20"/>
              </w:rPr>
              <w:t>5</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3.75</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(0.07</w:t>
            </w:r>
            <w:r>
              <w:rPr>
                <w:rFonts w:ascii="Arial" w:hAnsi="Arial" w:cs="Arial"/>
                <w:sz w:val="20"/>
                <w:szCs w:val="20"/>
              </w:rPr>
              <w:t>8</w:t>
            </w:r>
            <w:r w:rsidRPr="00B50F02">
              <w:rPr>
                <w:rFonts w:ascii="Arial" w:hAnsi="Arial" w:cs="Arial"/>
                <w:sz w:val="20"/>
                <w:szCs w:val="20"/>
              </w:rPr>
              <w:t>)</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0.11</w:t>
            </w:r>
          </w:p>
          <w:p w:rsidR="00C865F2" w:rsidRPr="00B50F02" w:rsidRDefault="00C865F2" w:rsidP="007D13DB">
            <w:pPr>
              <w:jc w:val="center"/>
              <w:rPr>
                <w:rFonts w:ascii="Arial" w:hAnsi="Arial" w:cs="Arial"/>
                <w:sz w:val="20"/>
                <w:szCs w:val="20"/>
              </w:rPr>
            </w:pP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5.08</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5.2</w:t>
            </w:r>
            <w:r>
              <w:rPr>
                <w:rFonts w:ascii="Arial" w:hAnsi="Arial" w:cs="Arial"/>
                <w:sz w:val="20"/>
                <w:szCs w:val="20"/>
              </w:rPr>
              <w:t>3</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(0.008)</w:t>
            </w:r>
          </w:p>
        </w:tc>
      </w:tr>
      <w:tr w:rsidR="00C865F2" w:rsidRPr="00B50F02" w:rsidTr="007D13DB">
        <w:tc>
          <w:tcPr>
            <w:tcW w:w="1117" w:type="dxa"/>
          </w:tcPr>
          <w:p w:rsidR="00C865F2" w:rsidRPr="00B50F02" w:rsidRDefault="00C865F2" w:rsidP="007D13DB">
            <w:pPr>
              <w:rPr>
                <w:rFonts w:ascii="Arial" w:hAnsi="Arial" w:cs="Arial"/>
                <w:i/>
                <w:sz w:val="20"/>
                <w:szCs w:val="20"/>
              </w:rPr>
            </w:pPr>
            <w:r w:rsidRPr="00B50F02">
              <w:rPr>
                <w:rFonts w:ascii="Arial" w:hAnsi="Arial" w:cs="Arial"/>
                <w:i/>
                <w:sz w:val="20"/>
                <w:szCs w:val="20"/>
              </w:rPr>
              <w:t>Term Spread</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0.08</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4.08</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(0.003)</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9.03</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0.05</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2.85</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(0.022)</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8.21</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0.03</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3.75</w:t>
            </w:r>
          </w:p>
          <w:p w:rsidR="00C865F2" w:rsidRPr="00B50F02" w:rsidRDefault="00C865F2" w:rsidP="007D13DB">
            <w:pPr>
              <w:jc w:val="center"/>
              <w:rPr>
                <w:rFonts w:ascii="Arial" w:hAnsi="Arial" w:cs="Arial"/>
                <w:sz w:val="20"/>
                <w:szCs w:val="20"/>
              </w:rPr>
            </w:pPr>
            <w:r>
              <w:rPr>
                <w:rFonts w:ascii="Arial" w:hAnsi="Arial" w:cs="Arial"/>
                <w:sz w:val="20"/>
                <w:szCs w:val="20"/>
              </w:rPr>
              <w:t>(0.005</w:t>
            </w:r>
            <w:r w:rsidRPr="00B50F02">
              <w:rPr>
                <w:rFonts w:ascii="Arial" w:hAnsi="Arial" w:cs="Arial"/>
                <w:sz w:val="20"/>
                <w:szCs w:val="20"/>
              </w:rPr>
              <w:t>)</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7.36</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0.12</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5.5</w:t>
            </w:r>
            <w:r>
              <w:rPr>
                <w:rFonts w:ascii="Arial" w:hAnsi="Arial" w:cs="Arial"/>
                <w:sz w:val="20"/>
                <w:szCs w:val="20"/>
              </w:rPr>
              <w:t>0</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4.4</w:t>
            </w:r>
            <w:r>
              <w:rPr>
                <w:rFonts w:ascii="Arial" w:hAnsi="Arial" w:cs="Arial"/>
                <w:sz w:val="20"/>
                <w:szCs w:val="20"/>
              </w:rPr>
              <w:t>8</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(0.026)</w:t>
            </w:r>
          </w:p>
        </w:tc>
      </w:tr>
      <w:tr w:rsidR="00C865F2" w:rsidRPr="00B50F02" w:rsidTr="007D13DB">
        <w:tc>
          <w:tcPr>
            <w:tcW w:w="1117" w:type="dxa"/>
          </w:tcPr>
          <w:p w:rsidR="00C865F2" w:rsidRPr="00B50F02" w:rsidRDefault="00C865F2" w:rsidP="007D13DB">
            <w:pPr>
              <w:rPr>
                <w:rFonts w:ascii="Arial" w:hAnsi="Arial" w:cs="Arial"/>
                <w:i/>
                <w:sz w:val="20"/>
                <w:szCs w:val="20"/>
              </w:rPr>
            </w:pPr>
            <w:r w:rsidRPr="00B50F02">
              <w:rPr>
                <w:rFonts w:ascii="Arial" w:hAnsi="Arial" w:cs="Arial"/>
                <w:i/>
                <w:sz w:val="20"/>
                <w:szCs w:val="20"/>
              </w:rPr>
              <w:t>Credit Spread</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14.71</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10.71</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0.26</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14.92</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Default="00C865F2" w:rsidP="007D13DB">
            <w:pPr>
              <w:jc w:val="center"/>
              <w:rPr>
                <w:rFonts w:ascii="Arial" w:hAnsi="Arial" w:cs="Arial"/>
                <w:sz w:val="20"/>
                <w:szCs w:val="20"/>
              </w:rPr>
            </w:pPr>
            <w:r w:rsidRPr="00B50F02">
              <w:rPr>
                <w:rFonts w:ascii="Arial" w:hAnsi="Arial" w:cs="Arial"/>
                <w:sz w:val="20"/>
                <w:szCs w:val="20"/>
              </w:rPr>
              <w:t>10.72</w:t>
            </w:r>
          </w:p>
          <w:p w:rsidR="00C865F2" w:rsidRPr="00B50F02" w:rsidRDefault="00C865F2" w:rsidP="007D13DB">
            <w:pPr>
              <w:jc w:val="center"/>
              <w:rPr>
                <w:rFonts w:ascii="Arial" w:hAnsi="Arial" w:cs="Arial"/>
                <w:sz w:val="20"/>
                <w:szCs w:val="20"/>
              </w:rPr>
            </w:pPr>
            <w:r>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0.11</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10.61</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10.75</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0.24</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9.7</w:t>
            </w:r>
            <w:r>
              <w:rPr>
                <w:rFonts w:ascii="Arial" w:hAnsi="Arial" w:cs="Arial"/>
                <w:sz w:val="20"/>
                <w:szCs w:val="20"/>
              </w:rPr>
              <w:t>9</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12.37</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r>
      <w:tr w:rsidR="00C865F2" w:rsidRPr="00B50F02" w:rsidTr="007D13DB">
        <w:tc>
          <w:tcPr>
            <w:tcW w:w="1117" w:type="dxa"/>
          </w:tcPr>
          <w:p w:rsidR="00C865F2" w:rsidRPr="00B50F02" w:rsidRDefault="00C865F2" w:rsidP="007D13DB">
            <w:pPr>
              <w:rPr>
                <w:rFonts w:ascii="Arial" w:hAnsi="Arial" w:cs="Arial"/>
                <w:i/>
                <w:sz w:val="20"/>
                <w:szCs w:val="20"/>
              </w:rPr>
            </w:pPr>
            <w:r w:rsidRPr="00B50F02">
              <w:rPr>
                <w:rFonts w:ascii="Arial" w:hAnsi="Arial" w:cs="Arial"/>
                <w:i/>
                <w:sz w:val="20"/>
                <w:szCs w:val="20"/>
              </w:rPr>
              <w:t>Real M2</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0.18</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8.7</w:t>
            </w:r>
            <w:r>
              <w:rPr>
                <w:rFonts w:ascii="Arial" w:hAnsi="Arial" w:cs="Arial"/>
                <w:sz w:val="20"/>
                <w:szCs w:val="20"/>
              </w:rPr>
              <w:t>5</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6.3</w:t>
            </w:r>
            <w:r w:rsidRPr="00B50F02">
              <w:rPr>
                <w:rFonts w:ascii="Arial" w:hAnsi="Arial" w:cs="Arial"/>
                <w:sz w:val="20"/>
                <w:szCs w:val="20"/>
              </w:rPr>
              <w:t>8</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w:t>
            </w:r>
            <w:r>
              <w:rPr>
                <w:rFonts w:ascii="Arial" w:hAnsi="Arial" w:cs="Arial"/>
                <w:sz w:val="20"/>
                <w:szCs w:val="20"/>
              </w:rPr>
              <w:t>1</w:t>
            </w:r>
            <w:r w:rsidRPr="00B50F02">
              <w:rPr>
                <w:rFonts w:ascii="Arial" w:hAnsi="Arial" w:cs="Arial"/>
                <w:sz w:val="20"/>
                <w:szCs w:val="20"/>
              </w:rPr>
              <w:t>)</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0.17</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6.9</w:t>
            </w:r>
            <w:r>
              <w:rPr>
                <w:rFonts w:ascii="Arial" w:hAnsi="Arial" w:cs="Arial"/>
                <w:sz w:val="20"/>
                <w:szCs w:val="20"/>
              </w:rPr>
              <w:t>4</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4.64</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(0.02</w:t>
            </w:r>
            <w:r>
              <w:rPr>
                <w:rFonts w:ascii="Arial" w:hAnsi="Arial" w:cs="Arial"/>
                <w:sz w:val="20"/>
                <w:szCs w:val="20"/>
              </w:rPr>
              <w:t>1</w:t>
            </w:r>
            <w:r w:rsidRPr="00B50F02">
              <w:rPr>
                <w:rFonts w:ascii="Arial" w:hAnsi="Arial" w:cs="Arial"/>
                <w:sz w:val="20"/>
                <w:szCs w:val="20"/>
              </w:rPr>
              <w:t>)</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0.06</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5.06</w:t>
            </w:r>
          </w:p>
          <w:p w:rsidR="00C865F2" w:rsidRPr="00B50F02" w:rsidRDefault="00C865F2" w:rsidP="007D13DB">
            <w:pPr>
              <w:jc w:val="center"/>
              <w:rPr>
                <w:rFonts w:ascii="Arial" w:hAnsi="Arial" w:cs="Arial"/>
                <w:sz w:val="20"/>
                <w:szCs w:val="20"/>
              </w:rPr>
            </w:pPr>
            <w:r>
              <w:rPr>
                <w:rFonts w:ascii="Arial" w:hAnsi="Arial" w:cs="Arial"/>
                <w:sz w:val="20"/>
                <w:szCs w:val="20"/>
              </w:rPr>
              <w:t>(0.000</w:t>
            </w:r>
            <w:r w:rsidRPr="00B50F02">
              <w:rPr>
                <w:rFonts w:ascii="Arial" w:hAnsi="Arial" w:cs="Arial"/>
                <w:sz w:val="20"/>
                <w:szCs w:val="20"/>
              </w:rPr>
              <w:t>)</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5.99</w:t>
            </w:r>
          </w:p>
          <w:p w:rsidR="00C865F2" w:rsidRPr="00B50F02" w:rsidRDefault="00C865F2" w:rsidP="007D13DB">
            <w:pPr>
              <w:jc w:val="center"/>
              <w:rPr>
                <w:rFonts w:ascii="Arial" w:hAnsi="Arial" w:cs="Arial"/>
                <w:sz w:val="20"/>
                <w:szCs w:val="20"/>
              </w:rPr>
            </w:pPr>
            <w:r>
              <w:rPr>
                <w:rFonts w:ascii="Arial" w:hAnsi="Arial" w:cs="Arial"/>
                <w:sz w:val="20"/>
                <w:szCs w:val="20"/>
              </w:rPr>
              <w:t>(0.002</w:t>
            </w:r>
            <w:r w:rsidRPr="00B50F02">
              <w:rPr>
                <w:rFonts w:ascii="Arial" w:hAnsi="Arial" w:cs="Arial"/>
                <w:sz w:val="20"/>
                <w:szCs w:val="20"/>
              </w:rPr>
              <w:t>)</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0.08</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3.26</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(0.011)</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2.08</w:t>
            </w:r>
          </w:p>
          <w:p w:rsidR="00C865F2" w:rsidRPr="00B50F02" w:rsidRDefault="00C865F2" w:rsidP="007D13DB">
            <w:pPr>
              <w:jc w:val="center"/>
              <w:rPr>
                <w:rFonts w:ascii="Arial" w:hAnsi="Arial" w:cs="Arial"/>
                <w:sz w:val="20"/>
                <w:szCs w:val="20"/>
              </w:rPr>
            </w:pPr>
            <w:r>
              <w:rPr>
                <w:rFonts w:ascii="Arial" w:hAnsi="Arial" w:cs="Arial"/>
                <w:sz w:val="20"/>
                <w:szCs w:val="20"/>
              </w:rPr>
              <w:t>(0.567</w:t>
            </w:r>
            <w:r w:rsidRPr="00B50F02">
              <w:rPr>
                <w:rFonts w:ascii="Arial" w:hAnsi="Arial" w:cs="Arial"/>
                <w:sz w:val="20"/>
                <w:szCs w:val="20"/>
              </w:rPr>
              <w:t>)</w:t>
            </w:r>
          </w:p>
        </w:tc>
      </w:tr>
      <w:tr w:rsidR="00C865F2" w:rsidRPr="00B50F02" w:rsidTr="007D13DB">
        <w:tc>
          <w:tcPr>
            <w:tcW w:w="1117" w:type="dxa"/>
          </w:tcPr>
          <w:p w:rsidR="00C865F2" w:rsidRPr="00B50F02" w:rsidRDefault="00C865F2" w:rsidP="007D13DB">
            <w:pPr>
              <w:rPr>
                <w:rFonts w:ascii="Arial" w:hAnsi="Arial" w:cs="Arial"/>
                <w:i/>
                <w:sz w:val="20"/>
                <w:szCs w:val="20"/>
              </w:rPr>
            </w:pPr>
            <w:r>
              <w:rPr>
                <w:rFonts w:ascii="Arial" w:hAnsi="Arial" w:cs="Arial"/>
                <w:i/>
                <w:sz w:val="20"/>
                <w:szCs w:val="20"/>
              </w:rPr>
              <w:t>SP500</w:t>
            </w:r>
          </w:p>
        </w:tc>
        <w:tc>
          <w:tcPr>
            <w:tcW w:w="712" w:type="dxa"/>
          </w:tcPr>
          <w:p w:rsidR="00C865F2" w:rsidRPr="00B50F02" w:rsidRDefault="00C865F2" w:rsidP="007D13DB">
            <w:pPr>
              <w:jc w:val="center"/>
              <w:rPr>
                <w:rFonts w:ascii="Arial" w:hAnsi="Arial" w:cs="Arial"/>
                <w:sz w:val="20"/>
                <w:szCs w:val="20"/>
              </w:rPr>
            </w:pPr>
            <w:r>
              <w:rPr>
                <w:rFonts w:ascii="Arial" w:hAnsi="Arial" w:cs="Arial"/>
                <w:sz w:val="20"/>
                <w:szCs w:val="20"/>
              </w:rPr>
              <w:t>0.09</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6.72</w:t>
            </w:r>
          </w:p>
          <w:p w:rsidR="00C865F2" w:rsidRPr="00B50F02" w:rsidRDefault="00C865F2" w:rsidP="007D13DB">
            <w:pPr>
              <w:jc w:val="center"/>
              <w:rPr>
                <w:rFonts w:ascii="Arial" w:hAnsi="Arial" w:cs="Arial"/>
                <w:sz w:val="20"/>
                <w:szCs w:val="20"/>
              </w:rPr>
            </w:pPr>
            <w:r>
              <w:rPr>
                <w:rFonts w:ascii="Arial" w:hAnsi="Arial" w:cs="Arial"/>
                <w:sz w:val="20"/>
                <w:szCs w:val="20"/>
              </w:rPr>
              <w:t>(0.000)</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5.83</w:t>
            </w:r>
          </w:p>
          <w:p w:rsidR="00C865F2" w:rsidRPr="00B50F02" w:rsidRDefault="00C865F2" w:rsidP="007D13DB">
            <w:pPr>
              <w:jc w:val="center"/>
              <w:rPr>
                <w:rFonts w:ascii="Arial" w:hAnsi="Arial" w:cs="Arial"/>
                <w:sz w:val="20"/>
                <w:szCs w:val="20"/>
              </w:rPr>
            </w:pPr>
            <w:r>
              <w:rPr>
                <w:rFonts w:ascii="Arial" w:hAnsi="Arial" w:cs="Arial"/>
                <w:sz w:val="20"/>
                <w:szCs w:val="20"/>
              </w:rPr>
              <w:t>(0.003)</w:t>
            </w:r>
          </w:p>
        </w:tc>
        <w:tc>
          <w:tcPr>
            <w:tcW w:w="712" w:type="dxa"/>
          </w:tcPr>
          <w:p w:rsidR="00C865F2" w:rsidRPr="00B50F02" w:rsidRDefault="00C865F2" w:rsidP="007D13DB">
            <w:pPr>
              <w:jc w:val="center"/>
              <w:rPr>
                <w:rFonts w:ascii="Arial" w:hAnsi="Arial" w:cs="Arial"/>
                <w:sz w:val="20"/>
                <w:szCs w:val="20"/>
              </w:rPr>
            </w:pPr>
            <w:r>
              <w:rPr>
                <w:rFonts w:ascii="Arial" w:hAnsi="Arial" w:cs="Arial"/>
                <w:sz w:val="20"/>
                <w:szCs w:val="20"/>
              </w:rPr>
              <w:t>0.16</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5.55</w:t>
            </w:r>
          </w:p>
          <w:p w:rsidR="00C865F2" w:rsidRPr="00B50F02" w:rsidRDefault="00C865F2" w:rsidP="007D13DB">
            <w:pPr>
              <w:jc w:val="center"/>
              <w:rPr>
                <w:rFonts w:ascii="Arial" w:hAnsi="Arial" w:cs="Arial"/>
                <w:sz w:val="20"/>
                <w:szCs w:val="20"/>
              </w:rPr>
            </w:pPr>
            <w:r>
              <w:rPr>
                <w:rFonts w:ascii="Arial" w:hAnsi="Arial" w:cs="Arial"/>
                <w:sz w:val="20"/>
                <w:szCs w:val="20"/>
              </w:rPr>
              <w:t>(0.000)</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3.81</w:t>
            </w:r>
          </w:p>
          <w:p w:rsidR="00C865F2" w:rsidRPr="00B50F02" w:rsidRDefault="00C865F2" w:rsidP="007D13DB">
            <w:pPr>
              <w:jc w:val="center"/>
              <w:rPr>
                <w:rFonts w:ascii="Arial" w:hAnsi="Arial" w:cs="Arial"/>
                <w:sz w:val="20"/>
                <w:szCs w:val="20"/>
              </w:rPr>
            </w:pPr>
            <w:r>
              <w:rPr>
                <w:rFonts w:ascii="Arial" w:hAnsi="Arial" w:cs="Arial"/>
                <w:sz w:val="20"/>
                <w:szCs w:val="20"/>
              </w:rPr>
              <w:t>(0.072)</w:t>
            </w:r>
          </w:p>
        </w:tc>
        <w:tc>
          <w:tcPr>
            <w:tcW w:w="712" w:type="dxa"/>
          </w:tcPr>
          <w:p w:rsidR="00C865F2" w:rsidRPr="00B50F02" w:rsidRDefault="00C865F2" w:rsidP="007D13DB">
            <w:pPr>
              <w:jc w:val="center"/>
              <w:rPr>
                <w:rFonts w:ascii="Arial" w:hAnsi="Arial" w:cs="Arial"/>
                <w:sz w:val="20"/>
                <w:szCs w:val="20"/>
              </w:rPr>
            </w:pPr>
            <w:r>
              <w:rPr>
                <w:rFonts w:ascii="Arial" w:hAnsi="Arial" w:cs="Arial"/>
                <w:sz w:val="20"/>
                <w:szCs w:val="20"/>
              </w:rPr>
              <w:t>0.09</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6.47</w:t>
            </w:r>
          </w:p>
          <w:p w:rsidR="00C865F2" w:rsidRPr="00B50F02" w:rsidRDefault="00C865F2" w:rsidP="007D13DB">
            <w:pPr>
              <w:jc w:val="center"/>
              <w:rPr>
                <w:rFonts w:ascii="Arial" w:hAnsi="Arial" w:cs="Arial"/>
                <w:sz w:val="20"/>
                <w:szCs w:val="20"/>
              </w:rPr>
            </w:pPr>
            <w:r>
              <w:rPr>
                <w:rFonts w:ascii="Arial" w:hAnsi="Arial" w:cs="Arial"/>
                <w:sz w:val="20"/>
                <w:szCs w:val="20"/>
              </w:rPr>
              <w:t>(0.000)</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5.50</w:t>
            </w:r>
          </w:p>
          <w:p w:rsidR="00C865F2" w:rsidRPr="00B50F02" w:rsidRDefault="00C865F2" w:rsidP="007D13DB">
            <w:pPr>
              <w:jc w:val="center"/>
              <w:rPr>
                <w:rFonts w:ascii="Arial" w:hAnsi="Arial" w:cs="Arial"/>
                <w:sz w:val="20"/>
                <w:szCs w:val="20"/>
              </w:rPr>
            </w:pPr>
            <w:r>
              <w:rPr>
                <w:rFonts w:ascii="Arial" w:hAnsi="Arial" w:cs="Arial"/>
                <w:sz w:val="20"/>
                <w:szCs w:val="20"/>
              </w:rPr>
              <w:t>(0.005)</w:t>
            </w:r>
          </w:p>
        </w:tc>
        <w:tc>
          <w:tcPr>
            <w:tcW w:w="712" w:type="dxa"/>
          </w:tcPr>
          <w:p w:rsidR="00C865F2" w:rsidRPr="00B50F02" w:rsidRDefault="00C865F2" w:rsidP="007D13DB">
            <w:pPr>
              <w:jc w:val="center"/>
              <w:rPr>
                <w:rFonts w:ascii="Arial" w:hAnsi="Arial" w:cs="Arial"/>
                <w:sz w:val="20"/>
                <w:szCs w:val="20"/>
              </w:rPr>
            </w:pPr>
            <w:r>
              <w:rPr>
                <w:rFonts w:ascii="Arial" w:hAnsi="Arial" w:cs="Arial"/>
                <w:sz w:val="20"/>
                <w:szCs w:val="20"/>
              </w:rPr>
              <w:t>0.15</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5.83</w:t>
            </w:r>
          </w:p>
          <w:p w:rsidR="00C865F2" w:rsidRPr="00B50F02" w:rsidRDefault="00C865F2" w:rsidP="007D13DB">
            <w:pPr>
              <w:jc w:val="center"/>
              <w:rPr>
                <w:rFonts w:ascii="Arial" w:hAnsi="Arial" w:cs="Arial"/>
                <w:sz w:val="20"/>
                <w:szCs w:val="20"/>
              </w:rPr>
            </w:pPr>
            <w:r>
              <w:rPr>
                <w:rFonts w:ascii="Arial" w:hAnsi="Arial" w:cs="Arial"/>
                <w:sz w:val="20"/>
                <w:szCs w:val="20"/>
              </w:rPr>
              <w:t>(0.000)</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2.57</w:t>
            </w:r>
          </w:p>
          <w:p w:rsidR="00C865F2" w:rsidRPr="00B50F02" w:rsidRDefault="00C865F2" w:rsidP="007D13DB">
            <w:pPr>
              <w:jc w:val="center"/>
              <w:rPr>
                <w:rFonts w:ascii="Arial" w:hAnsi="Arial" w:cs="Arial"/>
                <w:sz w:val="20"/>
                <w:szCs w:val="20"/>
              </w:rPr>
            </w:pPr>
            <w:r>
              <w:rPr>
                <w:rFonts w:ascii="Arial" w:hAnsi="Arial" w:cs="Arial"/>
                <w:sz w:val="20"/>
                <w:szCs w:val="20"/>
              </w:rPr>
              <w:t>(0.350)</w:t>
            </w:r>
          </w:p>
        </w:tc>
      </w:tr>
    </w:tbl>
    <w:p w:rsidR="00C865F2" w:rsidRPr="007151C7" w:rsidRDefault="00C865F2" w:rsidP="00C865F2">
      <w:pPr>
        <w:rPr>
          <w:rFonts w:ascii="Arial" w:hAnsi="Arial" w:cs="Arial"/>
          <w:sz w:val="20"/>
          <w:szCs w:val="20"/>
        </w:rPr>
      </w:pPr>
    </w:p>
    <w:p w:rsidR="00C865F2" w:rsidRDefault="00C865F2" w:rsidP="00C865F2">
      <w:pPr>
        <w:rPr>
          <w:rFonts w:ascii="Arial" w:hAnsi="Arial" w:cs="Arial"/>
          <w:sz w:val="20"/>
          <w:szCs w:val="20"/>
        </w:rPr>
      </w:pPr>
    </w:p>
    <w:p w:rsidR="00C865F2" w:rsidRDefault="00C865F2" w:rsidP="00C865F2">
      <w:pPr>
        <w:jc w:val="center"/>
        <w:rPr>
          <w:rFonts w:ascii="Arial" w:hAnsi="Arial" w:cs="Arial"/>
          <w:sz w:val="20"/>
          <w:szCs w:val="20"/>
        </w:rPr>
      </w:pPr>
      <w:r>
        <w:rPr>
          <w:rFonts w:ascii="Arial" w:hAnsi="Arial" w:cs="Arial"/>
          <w:sz w:val="20"/>
          <w:szCs w:val="20"/>
        </w:rPr>
        <w:t>(b</w:t>
      </w:r>
      <w:r w:rsidRPr="007151C7">
        <w:rPr>
          <w:rFonts w:ascii="Arial" w:hAnsi="Arial" w:cs="Arial"/>
          <w:sz w:val="20"/>
          <w:szCs w:val="20"/>
        </w:rPr>
        <w:t xml:space="preserve">) </w:t>
      </w:r>
      <w:r w:rsidRPr="007151C7">
        <w:rPr>
          <w:rFonts w:ascii="Arial" w:hAnsi="Arial" w:cs="Arial"/>
          <w:i/>
          <w:sz w:val="20"/>
          <w:szCs w:val="20"/>
        </w:rPr>
        <w:t xml:space="preserve">h </w:t>
      </w:r>
      <w:r w:rsidRPr="007151C7">
        <w:rPr>
          <w:rFonts w:ascii="Arial" w:hAnsi="Arial" w:cs="Arial"/>
          <w:sz w:val="20"/>
          <w:szCs w:val="20"/>
        </w:rPr>
        <w:t>= 4</w:t>
      </w:r>
    </w:p>
    <w:tbl>
      <w:tblPr>
        <w:tblpPr w:leftFromText="180" w:rightFromText="180" w:vertAnchor="text" w:horzAnchor="margin" w:tblpXSpec="center" w:tblpY="67"/>
        <w:tblW w:w="10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7"/>
        <w:gridCol w:w="712"/>
        <w:gridCol w:w="850"/>
        <w:gridCol w:w="850"/>
        <w:gridCol w:w="712"/>
        <w:gridCol w:w="850"/>
        <w:gridCol w:w="850"/>
        <w:gridCol w:w="712"/>
        <w:gridCol w:w="850"/>
        <w:gridCol w:w="850"/>
        <w:gridCol w:w="712"/>
        <w:gridCol w:w="850"/>
        <w:gridCol w:w="850"/>
      </w:tblGrid>
      <w:tr w:rsidR="00C865F2" w:rsidRPr="00B50F02" w:rsidTr="007D13DB">
        <w:tc>
          <w:tcPr>
            <w:tcW w:w="1117" w:type="dxa"/>
          </w:tcPr>
          <w:p w:rsidR="00C865F2" w:rsidRPr="00B50F02" w:rsidRDefault="00C865F2" w:rsidP="007D13DB">
            <w:pPr>
              <w:rPr>
                <w:rFonts w:ascii="Arial" w:hAnsi="Arial" w:cs="Arial"/>
                <w:sz w:val="20"/>
                <w:szCs w:val="20"/>
              </w:rPr>
            </w:pPr>
          </w:p>
        </w:tc>
        <w:tc>
          <w:tcPr>
            <w:tcW w:w="2412" w:type="dxa"/>
            <w:gridSpan w:val="3"/>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Real GDP</w:t>
            </w:r>
          </w:p>
        </w:tc>
        <w:tc>
          <w:tcPr>
            <w:tcW w:w="2412" w:type="dxa"/>
            <w:gridSpan w:val="3"/>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IP</w:t>
            </w:r>
          </w:p>
        </w:tc>
        <w:tc>
          <w:tcPr>
            <w:tcW w:w="2412" w:type="dxa"/>
            <w:gridSpan w:val="3"/>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Employment</w:t>
            </w:r>
          </w:p>
        </w:tc>
        <w:tc>
          <w:tcPr>
            <w:tcW w:w="2412" w:type="dxa"/>
            <w:gridSpan w:val="3"/>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Unemployment Rate</w:t>
            </w:r>
          </w:p>
        </w:tc>
      </w:tr>
      <w:tr w:rsidR="00C865F2" w:rsidRPr="00B50F02" w:rsidTr="007D13DB">
        <w:tc>
          <w:tcPr>
            <w:tcW w:w="1117" w:type="dxa"/>
          </w:tcPr>
          <w:p w:rsidR="00C865F2" w:rsidRPr="00B50F02" w:rsidRDefault="00C865F2" w:rsidP="007D13DB">
            <w:pPr>
              <w:rPr>
                <w:rFonts w:ascii="Arial" w:hAnsi="Arial" w:cs="Arial"/>
                <w:sz w:val="20"/>
                <w:szCs w:val="20"/>
              </w:rPr>
            </w:pPr>
            <w:r>
              <w:rPr>
                <w:rFonts w:ascii="Arial" w:hAnsi="Arial" w:cs="Arial"/>
                <w:sz w:val="20"/>
                <w:szCs w:val="20"/>
              </w:rPr>
              <w:t>Financial Indicator</w:t>
            </w:r>
          </w:p>
        </w:tc>
        <w:tc>
          <w:tcPr>
            <w:tcW w:w="712" w:type="dxa"/>
          </w:tcPr>
          <w:p w:rsidR="00C865F2" w:rsidRPr="00B50F02" w:rsidRDefault="00C865F2" w:rsidP="007D13DB">
            <w:pPr>
              <w:jc w:val="center"/>
              <w:rPr>
                <w:rFonts w:ascii="Arial" w:hAnsi="Arial" w:cs="Arial"/>
                <w:sz w:val="20"/>
                <w:szCs w:val="20"/>
                <w:vertAlign w:val="superscript"/>
              </w:rPr>
            </w:pPr>
            <w:r w:rsidRPr="00A43A48">
              <w:rPr>
                <w:position w:val="-14"/>
              </w:rPr>
              <w:object w:dxaOrig="499" w:dyaOrig="400">
                <v:shape id="_x0000_i1036" type="#_x0000_t75" style="width:24pt;height:20.75pt" o:ole="">
                  <v:imagedata r:id="rId22" o:title=""/>
                </v:shape>
                <o:OLEObject Type="Embed" ProgID="Equation.DSMT4" ShapeID="_x0000_i1036" DrawAspect="Content" ObjectID="_1332680865" r:id="rId27"/>
              </w:objec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F</w: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QLR</w:t>
            </w:r>
          </w:p>
        </w:tc>
        <w:tc>
          <w:tcPr>
            <w:tcW w:w="712" w:type="dxa"/>
          </w:tcPr>
          <w:p w:rsidR="00C865F2" w:rsidRPr="00B50F02" w:rsidRDefault="00C865F2" w:rsidP="007D13DB">
            <w:pPr>
              <w:jc w:val="center"/>
              <w:rPr>
                <w:rFonts w:ascii="Arial" w:hAnsi="Arial" w:cs="Arial"/>
                <w:sz w:val="20"/>
                <w:szCs w:val="20"/>
                <w:vertAlign w:val="superscript"/>
              </w:rPr>
            </w:pPr>
            <w:r w:rsidRPr="00A43A48">
              <w:rPr>
                <w:position w:val="-14"/>
              </w:rPr>
              <w:object w:dxaOrig="499" w:dyaOrig="400">
                <v:shape id="_x0000_i1037" type="#_x0000_t75" style="width:24pt;height:20.75pt" o:ole="">
                  <v:imagedata r:id="rId22" o:title=""/>
                </v:shape>
                <o:OLEObject Type="Embed" ProgID="Equation.DSMT4" ShapeID="_x0000_i1037" DrawAspect="Content" ObjectID="_1332680866" r:id="rId28"/>
              </w:objec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F</w: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QLR</w:t>
            </w:r>
          </w:p>
        </w:tc>
        <w:tc>
          <w:tcPr>
            <w:tcW w:w="712" w:type="dxa"/>
          </w:tcPr>
          <w:p w:rsidR="00C865F2" w:rsidRPr="00B50F02" w:rsidRDefault="00C865F2" w:rsidP="007D13DB">
            <w:pPr>
              <w:jc w:val="center"/>
              <w:rPr>
                <w:rFonts w:ascii="Arial" w:hAnsi="Arial" w:cs="Arial"/>
                <w:sz w:val="20"/>
                <w:szCs w:val="20"/>
                <w:vertAlign w:val="superscript"/>
              </w:rPr>
            </w:pPr>
            <w:r w:rsidRPr="00A43A48">
              <w:rPr>
                <w:position w:val="-14"/>
              </w:rPr>
              <w:object w:dxaOrig="499" w:dyaOrig="400">
                <v:shape id="_x0000_i1038" type="#_x0000_t75" style="width:24pt;height:20.75pt" o:ole="">
                  <v:imagedata r:id="rId22" o:title=""/>
                </v:shape>
                <o:OLEObject Type="Embed" ProgID="Equation.DSMT4" ShapeID="_x0000_i1038" DrawAspect="Content" ObjectID="_1332680867" r:id="rId29"/>
              </w:objec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F</w: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QLR</w:t>
            </w:r>
          </w:p>
        </w:tc>
        <w:tc>
          <w:tcPr>
            <w:tcW w:w="712" w:type="dxa"/>
          </w:tcPr>
          <w:p w:rsidR="00C865F2" w:rsidRPr="00B50F02" w:rsidRDefault="00C865F2" w:rsidP="007D13DB">
            <w:pPr>
              <w:jc w:val="center"/>
              <w:rPr>
                <w:rFonts w:ascii="Arial" w:hAnsi="Arial" w:cs="Arial"/>
                <w:sz w:val="20"/>
                <w:szCs w:val="20"/>
                <w:vertAlign w:val="superscript"/>
              </w:rPr>
            </w:pPr>
            <w:r w:rsidRPr="00A43A48">
              <w:rPr>
                <w:position w:val="-14"/>
              </w:rPr>
              <w:object w:dxaOrig="499" w:dyaOrig="400">
                <v:shape id="_x0000_i1039" type="#_x0000_t75" style="width:24pt;height:20.75pt" o:ole="">
                  <v:imagedata r:id="rId22" o:title=""/>
                </v:shape>
                <o:OLEObject Type="Embed" ProgID="Equation.DSMT4" ShapeID="_x0000_i1039" DrawAspect="Content" ObjectID="_1332680868" r:id="rId30"/>
              </w:objec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F</w:t>
            </w:r>
          </w:p>
        </w:tc>
        <w:tc>
          <w:tcPr>
            <w:tcW w:w="850" w:type="dxa"/>
          </w:tcPr>
          <w:p w:rsidR="00C865F2" w:rsidRPr="00B50F02" w:rsidRDefault="00C865F2" w:rsidP="007D13DB">
            <w:pPr>
              <w:jc w:val="center"/>
              <w:rPr>
                <w:rFonts w:ascii="Arial" w:hAnsi="Arial" w:cs="Arial"/>
                <w:i/>
                <w:sz w:val="20"/>
                <w:szCs w:val="20"/>
              </w:rPr>
            </w:pPr>
            <w:r w:rsidRPr="00B50F02">
              <w:rPr>
                <w:rFonts w:ascii="Arial" w:hAnsi="Arial" w:cs="Arial"/>
                <w:i/>
                <w:sz w:val="20"/>
                <w:szCs w:val="20"/>
              </w:rPr>
              <w:t>QLR</w:t>
            </w:r>
          </w:p>
        </w:tc>
      </w:tr>
      <w:tr w:rsidR="00C865F2" w:rsidRPr="00B50F02" w:rsidTr="007D13DB">
        <w:tc>
          <w:tcPr>
            <w:tcW w:w="1117" w:type="dxa"/>
          </w:tcPr>
          <w:p w:rsidR="00C865F2" w:rsidRPr="00B50F02" w:rsidRDefault="00C865F2" w:rsidP="007D13DB">
            <w:pPr>
              <w:rPr>
                <w:rFonts w:ascii="Arial" w:hAnsi="Arial" w:cs="Arial"/>
                <w:i/>
                <w:sz w:val="20"/>
                <w:szCs w:val="20"/>
              </w:rPr>
            </w:pPr>
            <w:r w:rsidRPr="00B50F02">
              <w:rPr>
                <w:rFonts w:ascii="Arial" w:hAnsi="Arial" w:cs="Arial"/>
                <w:i/>
                <w:sz w:val="20"/>
                <w:szCs w:val="20"/>
              </w:rPr>
              <w:t>FedFunds</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0.26</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10.74</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6.38</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(0.001)</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0.27</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10.27</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4.87</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(0.014)</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0.15</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9.17</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5.15</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(0.009)</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0.26</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8.66</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8.4</w:t>
            </w:r>
            <w:r>
              <w:rPr>
                <w:rFonts w:ascii="Arial" w:hAnsi="Arial" w:cs="Arial"/>
                <w:sz w:val="20"/>
                <w:szCs w:val="20"/>
              </w:rPr>
              <w:t>1</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r>
      <w:tr w:rsidR="00C865F2" w:rsidRPr="00B50F02" w:rsidTr="007D13DB">
        <w:tc>
          <w:tcPr>
            <w:tcW w:w="1117" w:type="dxa"/>
          </w:tcPr>
          <w:p w:rsidR="00C865F2" w:rsidRPr="00B50F02" w:rsidRDefault="00C865F2" w:rsidP="007D13DB">
            <w:pPr>
              <w:rPr>
                <w:rFonts w:ascii="Arial" w:hAnsi="Arial" w:cs="Arial"/>
                <w:i/>
                <w:sz w:val="20"/>
                <w:szCs w:val="20"/>
              </w:rPr>
            </w:pPr>
            <w:r w:rsidRPr="00B50F02">
              <w:rPr>
                <w:rFonts w:ascii="Arial" w:hAnsi="Arial" w:cs="Arial"/>
                <w:i/>
                <w:sz w:val="20"/>
                <w:szCs w:val="20"/>
              </w:rPr>
              <w:t>Term Spread</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0.13</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2.82</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(0.024)</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10.81</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2.64</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(0.032)</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11.01</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0.08</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3.32</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(0.010)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12.7</w:t>
            </w:r>
            <w:r>
              <w:rPr>
                <w:rFonts w:ascii="Arial" w:hAnsi="Arial" w:cs="Arial"/>
                <w:sz w:val="20"/>
                <w:szCs w:val="20"/>
              </w:rPr>
              <w:t>3</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0.26</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5.48</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9.</w:t>
            </w:r>
            <w:r>
              <w:rPr>
                <w:rFonts w:ascii="Arial" w:hAnsi="Arial" w:cs="Arial"/>
                <w:sz w:val="20"/>
                <w:szCs w:val="20"/>
              </w:rPr>
              <w:t>13</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r>
      <w:tr w:rsidR="00C865F2" w:rsidRPr="00B50F02" w:rsidTr="007D13DB">
        <w:tc>
          <w:tcPr>
            <w:tcW w:w="1117" w:type="dxa"/>
          </w:tcPr>
          <w:p w:rsidR="00C865F2" w:rsidRPr="00B50F02" w:rsidRDefault="00C865F2" w:rsidP="007D13DB">
            <w:pPr>
              <w:rPr>
                <w:rFonts w:ascii="Arial" w:hAnsi="Arial" w:cs="Arial"/>
                <w:i/>
                <w:sz w:val="20"/>
                <w:szCs w:val="20"/>
              </w:rPr>
            </w:pPr>
            <w:r w:rsidRPr="00B50F02">
              <w:rPr>
                <w:rFonts w:ascii="Arial" w:hAnsi="Arial" w:cs="Arial"/>
                <w:i/>
                <w:sz w:val="20"/>
                <w:szCs w:val="20"/>
              </w:rPr>
              <w:t>Credit Spread</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0.12</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10.17</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11.56</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0.21</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12.21</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21.85</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0.11</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8.28</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16.41</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0.24</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10.27</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19.56</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r>
      <w:tr w:rsidR="00C865F2" w:rsidRPr="00B50F02" w:rsidTr="007D13DB">
        <w:tc>
          <w:tcPr>
            <w:tcW w:w="1117" w:type="dxa"/>
          </w:tcPr>
          <w:p w:rsidR="00C865F2" w:rsidRPr="00B50F02" w:rsidRDefault="00C865F2" w:rsidP="007D13DB">
            <w:pPr>
              <w:rPr>
                <w:rFonts w:ascii="Arial" w:hAnsi="Arial" w:cs="Arial"/>
                <w:i/>
                <w:sz w:val="20"/>
                <w:szCs w:val="20"/>
              </w:rPr>
            </w:pPr>
            <w:r w:rsidRPr="00B50F02">
              <w:rPr>
                <w:rFonts w:ascii="Arial" w:hAnsi="Arial" w:cs="Arial"/>
                <w:i/>
                <w:sz w:val="20"/>
                <w:szCs w:val="20"/>
              </w:rPr>
              <w:t>Real M2</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w:t>
            </w:r>
            <w:r>
              <w:rPr>
                <w:rFonts w:ascii="Arial" w:hAnsi="Arial" w:cs="Arial"/>
                <w:sz w:val="20"/>
                <w:szCs w:val="20"/>
              </w:rPr>
              <w:t>3</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7.78</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9.96</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0.23</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6.76</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6.05</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(0.002)</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0.10</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4.63</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(0.001)</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8.53</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(0.000)</w:t>
            </w:r>
          </w:p>
        </w:tc>
        <w:tc>
          <w:tcPr>
            <w:tcW w:w="712"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0.15</w:t>
            </w:r>
          </w:p>
        </w:tc>
        <w:tc>
          <w:tcPr>
            <w:tcW w:w="850" w:type="dxa"/>
          </w:tcPr>
          <w:p w:rsidR="00C865F2" w:rsidRPr="00B50F02" w:rsidRDefault="00C865F2" w:rsidP="007D13DB">
            <w:pPr>
              <w:jc w:val="center"/>
              <w:rPr>
                <w:rFonts w:ascii="Arial" w:hAnsi="Arial" w:cs="Arial"/>
                <w:sz w:val="20"/>
                <w:szCs w:val="20"/>
              </w:rPr>
            </w:pPr>
            <w:r w:rsidRPr="00B50F02">
              <w:rPr>
                <w:rFonts w:ascii="Arial" w:hAnsi="Arial" w:cs="Arial"/>
                <w:sz w:val="20"/>
                <w:szCs w:val="20"/>
              </w:rPr>
              <w:t>2,8</w:t>
            </w:r>
            <w:r>
              <w:rPr>
                <w:rFonts w:ascii="Arial" w:hAnsi="Arial" w:cs="Arial"/>
                <w:sz w:val="20"/>
                <w:szCs w:val="20"/>
              </w:rPr>
              <w:t>4</w:t>
            </w:r>
          </w:p>
          <w:p w:rsidR="00C865F2" w:rsidRPr="00B50F02" w:rsidRDefault="00C865F2" w:rsidP="007D13DB">
            <w:pPr>
              <w:jc w:val="center"/>
              <w:rPr>
                <w:rFonts w:ascii="Arial" w:hAnsi="Arial" w:cs="Arial"/>
                <w:sz w:val="20"/>
                <w:szCs w:val="20"/>
              </w:rPr>
            </w:pPr>
            <w:r w:rsidRPr="00B50F02">
              <w:rPr>
                <w:rFonts w:ascii="Arial" w:hAnsi="Arial" w:cs="Arial"/>
                <w:sz w:val="20"/>
                <w:szCs w:val="20"/>
              </w:rPr>
              <w:t>(0.02</w:t>
            </w:r>
            <w:r>
              <w:rPr>
                <w:rFonts w:ascii="Arial" w:hAnsi="Arial" w:cs="Arial"/>
                <w:sz w:val="20"/>
                <w:szCs w:val="20"/>
              </w:rPr>
              <w:t>3</w:t>
            </w:r>
            <w:r w:rsidRPr="00B50F02">
              <w:rPr>
                <w:rFonts w:ascii="Arial" w:hAnsi="Arial" w:cs="Arial"/>
                <w:sz w:val="20"/>
                <w:szCs w:val="20"/>
              </w:rPr>
              <w:t>)</w:t>
            </w:r>
          </w:p>
        </w:tc>
        <w:tc>
          <w:tcPr>
            <w:tcW w:w="850" w:type="dxa"/>
          </w:tcPr>
          <w:p w:rsidR="00C865F2" w:rsidRPr="00B50F02" w:rsidRDefault="00C865F2" w:rsidP="007D13DB">
            <w:pPr>
              <w:jc w:val="center"/>
              <w:rPr>
                <w:rFonts w:ascii="Arial" w:hAnsi="Arial" w:cs="Arial"/>
                <w:sz w:val="20"/>
                <w:szCs w:val="20"/>
              </w:rPr>
            </w:pPr>
            <w:r>
              <w:rPr>
                <w:rFonts w:ascii="Arial" w:hAnsi="Arial" w:cs="Arial"/>
                <w:sz w:val="20"/>
                <w:szCs w:val="20"/>
              </w:rPr>
              <w:t>2.64</w:t>
            </w:r>
          </w:p>
          <w:p w:rsidR="00C865F2" w:rsidRPr="00B50F02" w:rsidRDefault="00C865F2" w:rsidP="007D13DB">
            <w:pPr>
              <w:jc w:val="center"/>
              <w:rPr>
                <w:rFonts w:ascii="Arial" w:hAnsi="Arial" w:cs="Arial"/>
                <w:sz w:val="20"/>
                <w:szCs w:val="20"/>
              </w:rPr>
            </w:pPr>
            <w:r w:rsidRPr="00B50F02">
              <w:rPr>
                <w:rFonts w:ascii="Arial" w:hAnsi="Arial" w:cs="Arial"/>
                <w:sz w:val="20"/>
                <w:szCs w:val="20"/>
              </w:rPr>
              <w:t>(0.32</w:t>
            </w:r>
            <w:r>
              <w:rPr>
                <w:rFonts w:ascii="Arial" w:hAnsi="Arial" w:cs="Arial"/>
                <w:sz w:val="20"/>
                <w:szCs w:val="20"/>
              </w:rPr>
              <w:t>6</w:t>
            </w:r>
            <w:r w:rsidRPr="00B50F02">
              <w:rPr>
                <w:rFonts w:ascii="Arial" w:hAnsi="Arial" w:cs="Arial"/>
                <w:sz w:val="20"/>
                <w:szCs w:val="20"/>
              </w:rPr>
              <w:t>)</w:t>
            </w:r>
          </w:p>
        </w:tc>
      </w:tr>
      <w:tr w:rsidR="00C865F2" w:rsidRPr="00B50F02" w:rsidTr="007D13DB">
        <w:tc>
          <w:tcPr>
            <w:tcW w:w="1117" w:type="dxa"/>
          </w:tcPr>
          <w:p w:rsidR="00C865F2" w:rsidRPr="00B50F02" w:rsidRDefault="00C865F2" w:rsidP="007D13DB">
            <w:pPr>
              <w:rPr>
                <w:rFonts w:ascii="Arial" w:hAnsi="Arial" w:cs="Arial"/>
                <w:i/>
                <w:sz w:val="20"/>
                <w:szCs w:val="20"/>
              </w:rPr>
            </w:pPr>
            <w:r>
              <w:rPr>
                <w:rFonts w:ascii="Arial" w:hAnsi="Arial" w:cs="Arial"/>
                <w:i/>
                <w:sz w:val="20"/>
                <w:szCs w:val="20"/>
              </w:rPr>
              <w:t>SP500</w:t>
            </w:r>
          </w:p>
        </w:tc>
        <w:tc>
          <w:tcPr>
            <w:tcW w:w="712" w:type="dxa"/>
          </w:tcPr>
          <w:p w:rsidR="00C865F2" w:rsidRPr="00B50F02" w:rsidRDefault="00C865F2" w:rsidP="007D13DB">
            <w:pPr>
              <w:jc w:val="center"/>
              <w:rPr>
                <w:rFonts w:ascii="Arial" w:hAnsi="Arial" w:cs="Arial"/>
                <w:sz w:val="20"/>
                <w:szCs w:val="20"/>
              </w:rPr>
            </w:pPr>
            <w:r>
              <w:rPr>
                <w:rFonts w:ascii="Arial" w:hAnsi="Arial" w:cs="Arial"/>
                <w:sz w:val="20"/>
                <w:szCs w:val="20"/>
              </w:rPr>
              <w:t>0.07</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3.97</w:t>
            </w:r>
          </w:p>
          <w:p w:rsidR="00C865F2" w:rsidRPr="00B50F02" w:rsidRDefault="00C865F2" w:rsidP="007D13DB">
            <w:pPr>
              <w:jc w:val="center"/>
              <w:rPr>
                <w:rFonts w:ascii="Arial" w:hAnsi="Arial" w:cs="Arial"/>
                <w:sz w:val="20"/>
                <w:szCs w:val="20"/>
              </w:rPr>
            </w:pPr>
            <w:r>
              <w:rPr>
                <w:rFonts w:ascii="Arial" w:hAnsi="Arial" w:cs="Arial"/>
                <w:sz w:val="20"/>
                <w:szCs w:val="20"/>
              </w:rPr>
              <w:t>(0.003)</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2.72</w:t>
            </w:r>
          </w:p>
          <w:p w:rsidR="00C865F2" w:rsidRPr="00B50F02" w:rsidRDefault="00C865F2" w:rsidP="007D13DB">
            <w:pPr>
              <w:jc w:val="center"/>
              <w:rPr>
                <w:rFonts w:ascii="Arial" w:hAnsi="Arial" w:cs="Arial"/>
                <w:sz w:val="20"/>
                <w:szCs w:val="20"/>
              </w:rPr>
            </w:pPr>
            <w:r>
              <w:rPr>
                <w:rFonts w:ascii="Arial" w:hAnsi="Arial" w:cs="Arial"/>
                <w:sz w:val="20"/>
                <w:szCs w:val="20"/>
              </w:rPr>
              <w:t>(0.297)</w:t>
            </w:r>
          </w:p>
        </w:tc>
        <w:tc>
          <w:tcPr>
            <w:tcW w:w="712" w:type="dxa"/>
          </w:tcPr>
          <w:p w:rsidR="00C865F2" w:rsidRPr="00B50F02" w:rsidRDefault="00C865F2" w:rsidP="007D13DB">
            <w:pPr>
              <w:jc w:val="center"/>
              <w:rPr>
                <w:rFonts w:ascii="Arial" w:hAnsi="Arial" w:cs="Arial"/>
                <w:sz w:val="20"/>
                <w:szCs w:val="20"/>
              </w:rPr>
            </w:pPr>
            <w:r>
              <w:rPr>
                <w:rFonts w:ascii="Arial" w:hAnsi="Arial" w:cs="Arial"/>
                <w:sz w:val="20"/>
                <w:szCs w:val="20"/>
              </w:rPr>
              <w:t>0.16</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5.78</w:t>
            </w:r>
          </w:p>
          <w:p w:rsidR="00C865F2" w:rsidRPr="00B50F02" w:rsidRDefault="00C865F2" w:rsidP="007D13DB">
            <w:pPr>
              <w:jc w:val="center"/>
              <w:rPr>
                <w:rFonts w:ascii="Arial" w:hAnsi="Arial" w:cs="Arial"/>
                <w:sz w:val="20"/>
                <w:szCs w:val="20"/>
              </w:rPr>
            </w:pPr>
            <w:r>
              <w:rPr>
                <w:rFonts w:ascii="Arial" w:hAnsi="Arial" w:cs="Arial"/>
                <w:sz w:val="20"/>
                <w:szCs w:val="20"/>
              </w:rPr>
              <w:t>(0.000)</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3.42</w:t>
            </w:r>
          </w:p>
          <w:p w:rsidR="00C865F2" w:rsidRPr="00B50F02" w:rsidRDefault="00C865F2" w:rsidP="007D13DB">
            <w:pPr>
              <w:jc w:val="center"/>
              <w:rPr>
                <w:rFonts w:ascii="Arial" w:hAnsi="Arial" w:cs="Arial"/>
                <w:sz w:val="20"/>
                <w:szCs w:val="20"/>
              </w:rPr>
            </w:pPr>
            <w:r>
              <w:rPr>
                <w:rFonts w:ascii="Arial" w:hAnsi="Arial" w:cs="Arial"/>
                <w:sz w:val="20"/>
                <w:szCs w:val="20"/>
              </w:rPr>
              <w:t>(0.123)</w:t>
            </w:r>
          </w:p>
        </w:tc>
        <w:tc>
          <w:tcPr>
            <w:tcW w:w="712" w:type="dxa"/>
          </w:tcPr>
          <w:p w:rsidR="00C865F2" w:rsidRPr="00B50F02" w:rsidRDefault="00C865F2" w:rsidP="007D13DB">
            <w:pPr>
              <w:jc w:val="center"/>
              <w:rPr>
                <w:rFonts w:ascii="Arial" w:hAnsi="Arial" w:cs="Arial"/>
                <w:sz w:val="20"/>
                <w:szCs w:val="20"/>
              </w:rPr>
            </w:pPr>
            <w:r>
              <w:rPr>
                <w:rFonts w:ascii="Arial" w:hAnsi="Arial" w:cs="Arial"/>
                <w:sz w:val="20"/>
                <w:szCs w:val="20"/>
              </w:rPr>
              <w:t>0.10</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5.09</w:t>
            </w:r>
          </w:p>
          <w:p w:rsidR="00C865F2" w:rsidRPr="00B50F02" w:rsidRDefault="00C865F2" w:rsidP="007D13DB">
            <w:pPr>
              <w:jc w:val="center"/>
              <w:rPr>
                <w:rFonts w:ascii="Arial" w:hAnsi="Arial" w:cs="Arial"/>
                <w:sz w:val="20"/>
                <w:szCs w:val="20"/>
              </w:rPr>
            </w:pPr>
            <w:r>
              <w:rPr>
                <w:rFonts w:ascii="Arial" w:hAnsi="Arial" w:cs="Arial"/>
                <w:sz w:val="20"/>
                <w:szCs w:val="20"/>
              </w:rPr>
              <w:t>(0.000)</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4.56</w:t>
            </w:r>
          </w:p>
          <w:p w:rsidR="00C865F2" w:rsidRPr="00B50F02" w:rsidRDefault="00C865F2" w:rsidP="007D13DB">
            <w:pPr>
              <w:jc w:val="center"/>
              <w:rPr>
                <w:rFonts w:ascii="Arial" w:hAnsi="Arial" w:cs="Arial"/>
                <w:sz w:val="20"/>
                <w:szCs w:val="20"/>
              </w:rPr>
            </w:pPr>
            <w:r>
              <w:rPr>
                <w:rFonts w:ascii="Arial" w:hAnsi="Arial" w:cs="Arial"/>
                <w:sz w:val="20"/>
                <w:szCs w:val="20"/>
              </w:rPr>
              <w:t>(0.023)</w:t>
            </w:r>
          </w:p>
        </w:tc>
        <w:tc>
          <w:tcPr>
            <w:tcW w:w="712" w:type="dxa"/>
          </w:tcPr>
          <w:p w:rsidR="00C865F2" w:rsidRPr="00B50F02" w:rsidRDefault="00C865F2" w:rsidP="007D13DB">
            <w:pPr>
              <w:jc w:val="center"/>
              <w:rPr>
                <w:rFonts w:ascii="Arial" w:hAnsi="Arial" w:cs="Arial"/>
                <w:sz w:val="20"/>
                <w:szCs w:val="20"/>
              </w:rPr>
            </w:pPr>
            <w:r>
              <w:rPr>
                <w:rFonts w:ascii="Arial" w:hAnsi="Arial" w:cs="Arial"/>
                <w:sz w:val="20"/>
                <w:szCs w:val="20"/>
              </w:rPr>
              <w:t>0.17</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4.57</w:t>
            </w:r>
          </w:p>
          <w:p w:rsidR="00C865F2" w:rsidRPr="00B50F02" w:rsidRDefault="00C865F2" w:rsidP="007D13DB">
            <w:pPr>
              <w:jc w:val="center"/>
              <w:rPr>
                <w:rFonts w:ascii="Arial" w:hAnsi="Arial" w:cs="Arial"/>
                <w:sz w:val="20"/>
                <w:szCs w:val="20"/>
              </w:rPr>
            </w:pPr>
            <w:r>
              <w:rPr>
                <w:rFonts w:ascii="Arial" w:hAnsi="Arial" w:cs="Arial"/>
                <w:sz w:val="20"/>
                <w:szCs w:val="20"/>
              </w:rPr>
              <w:t>(0.001)</w:t>
            </w:r>
          </w:p>
        </w:tc>
        <w:tc>
          <w:tcPr>
            <w:tcW w:w="850" w:type="dxa"/>
          </w:tcPr>
          <w:p w:rsidR="00C865F2" w:rsidRDefault="00C865F2" w:rsidP="007D13DB">
            <w:pPr>
              <w:jc w:val="center"/>
              <w:rPr>
                <w:rFonts w:ascii="Arial" w:hAnsi="Arial" w:cs="Arial"/>
                <w:sz w:val="20"/>
                <w:szCs w:val="20"/>
              </w:rPr>
            </w:pPr>
            <w:r>
              <w:rPr>
                <w:rFonts w:ascii="Arial" w:hAnsi="Arial" w:cs="Arial"/>
                <w:sz w:val="20"/>
                <w:szCs w:val="20"/>
              </w:rPr>
              <w:t>3.02</w:t>
            </w:r>
          </w:p>
          <w:p w:rsidR="00C865F2" w:rsidRPr="00B50F02" w:rsidRDefault="00C865F2" w:rsidP="007D13DB">
            <w:pPr>
              <w:jc w:val="center"/>
              <w:rPr>
                <w:rFonts w:ascii="Arial" w:hAnsi="Arial" w:cs="Arial"/>
                <w:sz w:val="20"/>
                <w:szCs w:val="20"/>
              </w:rPr>
            </w:pPr>
            <w:r>
              <w:rPr>
                <w:rFonts w:ascii="Arial" w:hAnsi="Arial" w:cs="Arial"/>
                <w:sz w:val="20"/>
                <w:szCs w:val="20"/>
              </w:rPr>
              <w:t>(0.207)</w:t>
            </w:r>
          </w:p>
        </w:tc>
      </w:tr>
    </w:tbl>
    <w:p w:rsidR="00C865F2" w:rsidRPr="00EA3A25" w:rsidRDefault="00C865F2" w:rsidP="00C865F2"/>
    <w:p w:rsidR="00C865F2" w:rsidRDefault="00C865F2" w:rsidP="00C865F2">
      <w:pPr>
        <w:spacing w:line="276" w:lineRule="auto"/>
        <w:ind w:left="-720" w:right="-720"/>
        <w:sectPr w:rsidR="00C865F2" w:rsidSect="00277BC4">
          <w:footerReference w:type="default" r:id="rId31"/>
          <w:pgSz w:w="12240" w:h="15840" w:code="1"/>
          <w:pgMar w:top="1440" w:right="1440" w:bottom="1440" w:left="1440" w:header="720" w:footer="720" w:gutter="0"/>
          <w:cols w:space="720"/>
          <w:docGrid w:linePitch="360"/>
        </w:sectPr>
      </w:pPr>
      <w:r w:rsidRPr="00CD186A">
        <w:rPr>
          <w:rFonts w:ascii="Times New Roman" w:hAnsi="Times New Roman"/>
        </w:rPr>
        <w:t>Notes:</w:t>
      </w:r>
      <w:r w:rsidRPr="002A44F9">
        <w:rPr>
          <w:rFonts w:ascii="Times New Roman" w:hAnsi="Times New Roman"/>
          <w:position w:val="-14"/>
        </w:rPr>
        <w:object w:dxaOrig="440" w:dyaOrig="400">
          <v:shape id="_x0000_i1040" type="#_x0000_t75" style="width:20.75pt;height:20.75pt" o:ole="">
            <v:imagedata r:id="rId32" o:title=""/>
          </v:shape>
          <o:OLEObject Type="Embed" ProgID="Equation.DSMT4" ShapeID="_x0000_i1040" DrawAspect="Content" ObjectID="_1332680869" r:id="rId33"/>
        </w:object>
      </w:r>
      <w:r w:rsidRPr="00CD186A">
        <w:rPr>
          <w:rFonts w:ascii="Times New Roman" w:hAnsi="Times New Roman"/>
        </w:rPr>
        <w:t xml:space="preserve"> denotes the partial </w:t>
      </w:r>
      <w:r w:rsidRPr="00CD186A">
        <w:rPr>
          <w:rFonts w:ascii="Times New Roman" w:hAnsi="Times New Roman"/>
          <w:i/>
        </w:rPr>
        <w:t>R</w:t>
      </w:r>
      <w:r w:rsidRPr="00CD186A">
        <w:rPr>
          <w:rFonts w:ascii="Times New Roman" w:hAnsi="Times New Roman"/>
          <w:vertAlign w:val="superscript"/>
        </w:rPr>
        <w:t>2</w:t>
      </w:r>
      <w:r w:rsidRPr="00CD186A">
        <w:rPr>
          <w:rFonts w:ascii="Times New Roman" w:hAnsi="Times New Roman"/>
        </w:rPr>
        <w:t xml:space="preserve"> for the lags of </w:t>
      </w:r>
      <w:r w:rsidRPr="00CD186A">
        <w:rPr>
          <w:rFonts w:ascii="Times New Roman" w:hAnsi="Times New Roman"/>
          <w:i/>
        </w:rPr>
        <w:t xml:space="preserve">x </w:t>
      </w:r>
      <w:r w:rsidRPr="00CD186A">
        <w:rPr>
          <w:rFonts w:ascii="Times New Roman" w:hAnsi="Times New Roman"/>
        </w:rPr>
        <w:t xml:space="preserve">conditional on the lags if </w:t>
      </w:r>
      <w:r w:rsidRPr="00CD186A">
        <w:rPr>
          <w:rFonts w:ascii="Times New Roman" w:hAnsi="Times New Roman"/>
          <w:i/>
        </w:rPr>
        <w:t>y</w:t>
      </w:r>
      <w:r w:rsidRPr="00CD186A">
        <w:rPr>
          <w:rFonts w:ascii="Times New Roman" w:hAnsi="Times New Roman"/>
        </w:rPr>
        <w:t xml:space="preserve">.  </w:t>
      </w:r>
      <w:r w:rsidRPr="00CD186A">
        <w:rPr>
          <w:rFonts w:ascii="Times New Roman" w:hAnsi="Times New Roman"/>
          <w:i/>
        </w:rPr>
        <w:t xml:space="preserve">F </w:t>
      </w:r>
      <w:r w:rsidRPr="00CD186A">
        <w:rPr>
          <w:rFonts w:ascii="Times New Roman" w:hAnsi="Times New Roman"/>
        </w:rPr>
        <w:t xml:space="preserve">denotes the </w:t>
      </w:r>
      <w:r w:rsidRPr="00CD186A">
        <w:rPr>
          <w:rFonts w:ascii="Times New Roman" w:hAnsi="Times New Roman"/>
          <w:i/>
        </w:rPr>
        <w:t>F</w:t>
      </w:r>
      <w:r w:rsidRPr="00CD186A">
        <w:rPr>
          <w:rFonts w:ascii="Times New Roman" w:hAnsi="Times New Roman"/>
        </w:rPr>
        <w:t xml:space="preserve">-statistic associated with the null hypothesis that all of the </w:t>
      </w:r>
      <w:r w:rsidRPr="00CD186A">
        <w:rPr>
          <w:rFonts w:ascii="Times New Roman" w:hAnsi="Times New Roman"/>
          <w:i/>
        </w:rPr>
        <w:sym w:font="Symbol" w:char="F067"/>
      </w:r>
      <w:r w:rsidRPr="00CD186A">
        <w:rPr>
          <w:rFonts w:ascii="Times New Roman" w:hAnsi="Times New Roman"/>
          <w:i/>
          <w:vertAlign w:val="subscript"/>
        </w:rPr>
        <w:t>i</w:t>
      </w:r>
      <w:r w:rsidRPr="00CD186A">
        <w:rPr>
          <w:rFonts w:ascii="Times New Roman" w:hAnsi="Times New Roman"/>
        </w:rPr>
        <w:t xml:space="preserve"> coefficients are equal to zero, where the </w:t>
      </w:r>
      <w:r w:rsidRPr="00CD186A">
        <w:rPr>
          <w:rFonts w:ascii="Times New Roman" w:hAnsi="Times New Roman"/>
          <w:i/>
        </w:rPr>
        <w:t>p</w:t>
      </w:r>
      <w:r w:rsidRPr="00CD186A">
        <w:rPr>
          <w:rFonts w:ascii="Times New Roman" w:hAnsi="Times New Roman"/>
        </w:rPr>
        <w:t xml:space="preserve">-value is shown in parentheses. </w:t>
      </w:r>
      <w:r w:rsidRPr="00CD186A">
        <w:rPr>
          <w:rFonts w:ascii="Times New Roman" w:hAnsi="Times New Roman"/>
          <w:i/>
        </w:rPr>
        <w:t xml:space="preserve">QLR </w:t>
      </w:r>
      <w:r w:rsidRPr="00CD186A">
        <w:rPr>
          <w:rFonts w:ascii="Times New Roman" w:hAnsi="Times New Roman"/>
        </w:rPr>
        <w:t xml:space="preserve">is the “sup-Chow” </w:t>
      </w:r>
      <w:r w:rsidRPr="00CD186A">
        <w:rPr>
          <w:rFonts w:ascii="Times New Roman" w:hAnsi="Times New Roman"/>
          <w:i/>
        </w:rPr>
        <w:t>F-</w:t>
      </w:r>
      <w:r w:rsidRPr="00CD186A">
        <w:rPr>
          <w:rFonts w:ascii="Times New Roman" w:hAnsi="Times New Roman"/>
        </w:rPr>
        <w:t xml:space="preserve">statistic testing for stability of the </w:t>
      </w:r>
      <w:r w:rsidRPr="00CD186A">
        <w:rPr>
          <w:rFonts w:ascii="Times New Roman" w:hAnsi="Times New Roman"/>
          <w:i/>
        </w:rPr>
        <w:sym w:font="Symbol" w:char="F067"/>
      </w:r>
      <w:r w:rsidRPr="00CD186A">
        <w:rPr>
          <w:rFonts w:ascii="Times New Roman" w:hAnsi="Times New Roman"/>
          <w:i/>
          <w:vertAlign w:val="subscript"/>
        </w:rPr>
        <w:t>i</w:t>
      </w:r>
      <w:r w:rsidRPr="00CD186A">
        <w:rPr>
          <w:rFonts w:ascii="Times New Roman" w:hAnsi="Times New Roman"/>
        </w:rPr>
        <w:t xml:space="preserve"> coefficients (</w:t>
      </w:r>
      <w:r w:rsidRPr="00CD186A">
        <w:rPr>
          <w:rFonts w:ascii="Times New Roman" w:hAnsi="Times New Roman"/>
          <w:i/>
        </w:rPr>
        <w:t>p</w:t>
      </w:r>
      <w:r w:rsidRPr="00CD186A">
        <w:rPr>
          <w:rFonts w:ascii="Times New Roman" w:hAnsi="Times New Roman"/>
        </w:rPr>
        <w:t xml:space="preserve">-value in parentheses).  These test statistics using HAC covariance estimators with 2 lags for </w:t>
      </w:r>
      <w:r w:rsidRPr="00CD186A">
        <w:rPr>
          <w:rFonts w:ascii="Times New Roman" w:hAnsi="Times New Roman"/>
          <w:i/>
        </w:rPr>
        <w:t xml:space="preserve">h </w:t>
      </w:r>
      <w:r w:rsidRPr="00CD186A">
        <w:rPr>
          <w:rFonts w:ascii="Times New Roman" w:hAnsi="Times New Roman"/>
        </w:rPr>
        <w:t xml:space="preserve">= 2 and 8 lags for </w:t>
      </w:r>
      <w:r w:rsidRPr="00CD186A">
        <w:rPr>
          <w:rFonts w:ascii="Times New Roman" w:hAnsi="Times New Roman"/>
          <w:i/>
        </w:rPr>
        <w:t xml:space="preserve">h </w:t>
      </w:r>
      <w:r w:rsidRPr="00CD186A">
        <w:rPr>
          <w:rFonts w:ascii="Times New Roman" w:hAnsi="Times New Roman"/>
        </w:rPr>
        <w:t>= 4.</w:t>
      </w:r>
    </w:p>
    <w:p w:rsidR="00C865F2" w:rsidRPr="00390812" w:rsidRDefault="00C865F2" w:rsidP="00C865F2">
      <w:pPr>
        <w:spacing w:line="276" w:lineRule="auto"/>
        <w:ind w:left="-720" w:right="-720"/>
        <w:jc w:val="center"/>
        <w:rPr>
          <w:rFonts w:ascii="Times New Roman" w:hAnsi="Times New Roman"/>
          <w:b/>
        </w:rPr>
      </w:pPr>
      <w:r w:rsidRPr="00CD186A">
        <w:rPr>
          <w:rFonts w:ascii="Times New Roman" w:hAnsi="Times New Roman"/>
          <w:b/>
        </w:rPr>
        <w:t>Table 3.2:  Pseudo-out-of sample root mean square forecast errors</w:t>
      </w:r>
    </w:p>
    <w:p w:rsidR="00C865F2" w:rsidRPr="00390812" w:rsidRDefault="00C865F2" w:rsidP="00C865F2">
      <w:pPr>
        <w:jc w:val="center"/>
        <w:rPr>
          <w:rFonts w:ascii="Times New Roman" w:hAnsi="Times New Roman"/>
          <w:b/>
        </w:rPr>
      </w:pPr>
      <w:r w:rsidRPr="00CD186A">
        <w:rPr>
          <w:rFonts w:ascii="Times New Roman" w:hAnsi="Times New Roman"/>
          <w:b/>
        </w:rPr>
        <w:t>for AR and single indicator models.</w:t>
      </w:r>
    </w:p>
    <w:p w:rsidR="00C865F2" w:rsidRDefault="00C865F2" w:rsidP="00C865F2">
      <w:pPr>
        <w:ind w:left="1080"/>
        <w:jc w:val="center"/>
      </w:pPr>
    </w:p>
    <w:p w:rsidR="00C865F2" w:rsidRPr="009A3DC0" w:rsidRDefault="00C865F2" w:rsidP="00C865F2">
      <w:pPr>
        <w:ind w:left="1080"/>
        <w:jc w:val="center"/>
      </w:pPr>
      <w:r>
        <w:t xml:space="preserve"> (a) </w:t>
      </w:r>
      <w:r>
        <w:rPr>
          <w:i/>
        </w:rPr>
        <w:t xml:space="preserve">h </w:t>
      </w:r>
      <w:r>
        <w:t>=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1"/>
        <w:gridCol w:w="837"/>
        <w:gridCol w:w="837"/>
        <w:gridCol w:w="887"/>
        <w:gridCol w:w="887"/>
        <w:gridCol w:w="887"/>
        <w:gridCol w:w="887"/>
        <w:gridCol w:w="887"/>
        <w:gridCol w:w="827"/>
      </w:tblGrid>
      <w:tr w:rsidR="00C865F2" w:rsidRPr="00B50F02" w:rsidTr="007D13DB">
        <w:trPr>
          <w:trHeight w:val="470"/>
        </w:trPr>
        <w:tc>
          <w:tcPr>
            <w:tcW w:w="0" w:type="auto"/>
          </w:tcPr>
          <w:p w:rsidR="00C865F2" w:rsidRPr="00B50F02" w:rsidRDefault="00C865F2" w:rsidP="007D13DB">
            <w:pPr>
              <w:rPr>
                <w:rFonts w:ascii="Arial" w:hAnsi="Arial" w:cs="Arial"/>
                <w:sz w:val="20"/>
                <w:szCs w:val="20"/>
              </w:rPr>
            </w:pP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1970</w:t>
            </w:r>
            <w:r>
              <w:rPr>
                <w:rFonts w:ascii="Arial" w:hAnsi="Arial" w:cs="Arial"/>
                <w:sz w:val="18"/>
                <w:szCs w:val="18"/>
              </w:rPr>
              <w:t>.I</w:t>
            </w:r>
            <w:r w:rsidRPr="000F3F73">
              <w:rPr>
                <w:rFonts w:ascii="Arial" w:hAnsi="Arial" w:cs="Arial"/>
                <w:sz w:val="18"/>
                <w:szCs w:val="18"/>
              </w:rPr>
              <w:t xml:space="preserve">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1974.IV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1975.I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1979.IV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1980.I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1984. 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 xml:space="preserve">1985.I -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1989. 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 xml:space="preserve">1990.I -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1994. 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 xml:space="preserve">1995.I -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1999. 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 xml:space="preserve">2000.I -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2004. 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2005.I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EOS </w:t>
            </w:r>
          </w:p>
        </w:tc>
      </w:tr>
      <w:tr w:rsidR="00C865F2" w:rsidRPr="00B50F02" w:rsidTr="007D13DB">
        <w:tc>
          <w:tcPr>
            <w:tcW w:w="0" w:type="auto"/>
          </w:tcPr>
          <w:p w:rsidR="00C865F2" w:rsidRPr="00B50F02" w:rsidRDefault="00C865F2" w:rsidP="007D13DB">
            <w:pPr>
              <w:rPr>
                <w:rFonts w:ascii="Arial" w:hAnsi="Arial" w:cs="Arial"/>
                <w:sz w:val="20"/>
                <w:szCs w:val="20"/>
              </w:rPr>
            </w:pPr>
          </w:p>
        </w:tc>
        <w:tc>
          <w:tcPr>
            <w:tcW w:w="0" w:type="auto"/>
            <w:gridSpan w:val="8"/>
          </w:tcPr>
          <w:p w:rsidR="00C865F2" w:rsidRPr="00B50F02" w:rsidRDefault="00C865F2" w:rsidP="007D13DB">
            <w:pPr>
              <w:jc w:val="center"/>
              <w:rPr>
                <w:rFonts w:ascii="Arial" w:hAnsi="Arial" w:cs="Arial"/>
                <w:sz w:val="20"/>
                <w:szCs w:val="20"/>
              </w:rPr>
            </w:pPr>
            <w:r w:rsidRPr="00B50F02">
              <w:rPr>
                <w:rFonts w:ascii="Arial" w:hAnsi="Arial" w:cs="Arial"/>
                <w:sz w:val="20"/>
                <w:szCs w:val="20"/>
              </w:rPr>
              <w:t>Root MSE for AR Forecasts</w:t>
            </w:r>
          </w:p>
        </w:tc>
      </w:tr>
      <w:tr w:rsidR="00C865F2" w:rsidRPr="00B50F02" w:rsidTr="007D13DB">
        <w:tc>
          <w:tcPr>
            <w:tcW w:w="0" w:type="auto"/>
          </w:tcPr>
          <w:p w:rsidR="00C865F2" w:rsidRPr="00B50F02" w:rsidRDefault="00C865F2" w:rsidP="007D13DB">
            <w:pPr>
              <w:rPr>
                <w:rFonts w:ascii="Arial" w:hAnsi="Arial" w:cs="Arial"/>
                <w:i/>
                <w:sz w:val="20"/>
                <w:szCs w:val="20"/>
              </w:rPr>
            </w:pPr>
            <w:r w:rsidRPr="00B50F02">
              <w:rPr>
                <w:rFonts w:ascii="Arial" w:hAnsi="Arial" w:cs="Arial"/>
                <w:i/>
                <w:sz w:val="20"/>
                <w:szCs w:val="20"/>
              </w:rPr>
              <w:t>GDP</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3.88</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3.36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4.02</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2.04</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1.28</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1.63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3.07</w:t>
            </w:r>
          </w:p>
        </w:tc>
      </w:tr>
      <w:tr w:rsidR="00C865F2" w:rsidRPr="00B50F02" w:rsidTr="007D13DB">
        <w:tc>
          <w:tcPr>
            <w:tcW w:w="0" w:type="auto"/>
          </w:tcPr>
          <w:p w:rsidR="00C865F2" w:rsidRPr="00B50F02" w:rsidRDefault="00C865F2" w:rsidP="007D13DB">
            <w:pPr>
              <w:rPr>
                <w:rFonts w:ascii="Arial" w:hAnsi="Arial" w:cs="Arial"/>
                <w:i/>
                <w:sz w:val="20"/>
                <w:szCs w:val="20"/>
              </w:rPr>
            </w:pPr>
            <w:r>
              <w:rPr>
                <w:rFonts w:ascii="Arial" w:hAnsi="Arial" w:cs="Arial"/>
                <w:i/>
                <w:sz w:val="20"/>
                <w:szCs w:val="20"/>
              </w:rPr>
              <w:t>Employment</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2.10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1.93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2.00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0.55</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0.39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1.07</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1.74</w:t>
            </w:r>
          </w:p>
        </w:tc>
      </w:tr>
      <w:tr w:rsidR="00C865F2" w:rsidRPr="00B50F02" w:rsidTr="007D13DB">
        <w:tc>
          <w:tcPr>
            <w:tcW w:w="0" w:type="auto"/>
          </w:tcPr>
          <w:p w:rsidR="00C865F2" w:rsidRPr="00B50F02" w:rsidRDefault="00C865F2" w:rsidP="007D13DB">
            <w:pPr>
              <w:rPr>
                <w:rFonts w:ascii="Arial" w:hAnsi="Arial" w:cs="Arial"/>
                <w:i/>
                <w:sz w:val="20"/>
                <w:szCs w:val="20"/>
              </w:rPr>
            </w:pPr>
            <w:r>
              <w:rPr>
                <w:rFonts w:ascii="Arial" w:hAnsi="Arial" w:cs="Arial"/>
                <w:i/>
                <w:sz w:val="20"/>
                <w:szCs w:val="20"/>
              </w:rPr>
              <w:t>IP</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8.70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5.09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6.73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2.43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3.26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2.21</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3.51</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6.73</w:t>
            </w:r>
          </w:p>
        </w:tc>
      </w:tr>
      <w:tr w:rsidR="00C865F2" w:rsidRPr="00B50F02" w:rsidTr="007D13DB">
        <w:tc>
          <w:tcPr>
            <w:tcW w:w="0" w:type="auto"/>
          </w:tcPr>
          <w:p w:rsidR="00C865F2" w:rsidRPr="00B50F02" w:rsidRDefault="00C865F2" w:rsidP="007D13DB">
            <w:pPr>
              <w:rPr>
                <w:rFonts w:ascii="Arial" w:hAnsi="Arial" w:cs="Arial"/>
                <w:i/>
                <w:sz w:val="20"/>
                <w:szCs w:val="20"/>
              </w:rPr>
            </w:pPr>
            <w:r w:rsidRPr="00B50F02">
              <w:rPr>
                <w:rFonts w:ascii="Arial" w:hAnsi="Arial" w:cs="Arial"/>
                <w:i/>
                <w:sz w:val="20"/>
                <w:szCs w:val="20"/>
              </w:rPr>
              <w:t>Unemp Rate</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0.75</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0.69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0.76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0.23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0.38</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0.21</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0.35</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0.64</w:t>
            </w:r>
          </w:p>
        </w:tc>
      </w:tr>
      <w:tr w:rsidR="00C865F2" w:rsidRPr="00B50F02" w:rsidTr="007D13DB">
        <w:tc>
          <w:tcPr>
            <w:tcW w:w="0" w:type="auto"/>
          </w:tcPr>
          <w:p w:rsidR="00C865F2" w:rsidRPr="00B50F02" w:rsidRDefault="00C865F2" w:rsidP="007D13DB">
            <w:pPr>
              <w:rPr>
                <w:rFonts w:ascii="Arial" w:hAnsi="Arial" w:cs="Arial"/>
                <w:sz w:val="20"/>
                <w:szCs w:val="20"/>
              </w:rPr>
            </w:pPr>
            <w:r>
              <w:rPr>
                <w:rFonts w:ascii="Arial" w:hAnsi="Arial" w:cs="Arial"/>
                <w:sz w:val="20"/>
                <w:szCs w:val="20"/>
              </w:rPr>
              <w:t>Average</w:t>
            </w:r>
          </w:p>
        </w:tc>
        <w:tc>
          <w:tcPr>
            <w:tcW w:w="0" w:type="auto"/>
          </w:tcPr>
          <w:p w:rsidR="00C865F2" w:rsidRDefault="00C865F2" w:rsidP="007D13DB">
            <w:pPr>
              <w:jc w:val="center"/>
              <w:rPr>
                <w:rFonts w:ascii="Arial" w:hAnsi="Arial" w:cs="Arial"/>
                <w:sz w:val="20"/>
                <w:szCs w:val="20"/>
              </w:rPr>
            </w:pPr>
            <w:r>
              <w:rPr>
                <w:rFonts w:ascii="Arial" w:hAnsi="Arial" w:cs="Arial"/>
                <w:sz w:val="20"/>
                <w:szCs w:val="20"/>
              </w:rPr>
              <w:t>3.86</w:t>
            </w:r>
          </w:p>
        </w:tc>
        <w:tc>
          <w:tcPr>
            <w:tcW w:w="0" w:type="auto"/>
          </w:tcPr>
          <w:p w:rsidR="00C865F2" w:rsidRDefault="00C865F2" w:rsidP="007D13DB">
            <w:pPr>
              <w:jc w:val="center"/>
              <w:rPr>
                <w:rFonts w:ascii="Arial" w:hAnsi="Arial" w:cs="Arial"/>
                <w:sz w:val="20"/>
                <w:szCs w:val="20"/>
              </w:rPr>
            </w:pPr>
            <w:r>
              <w:rPr>
                <w:rFonts w:ascii="Arial" w:hAnsi="Arial" w:cs="Arial"/>
                <w:sz w:val="20"/>
                <w:szCs w:val="20"/>
              </w:rPr>
              <w:t>2.77</w:t>
            </w:r>
          </w:p>
        </w:tc>
        <w:tc>
          <w:tcPr>
            <w:tcW w:w="0" w:type="auto"/>
          </w:tcPr>
          <w:p w:rsidR="00C865F2" w:rsidRDefault="00C865F2" w:rsidP="007D13DB">
            <w:pPr>
              <w:jc w:val="center"/>
              <w:rPr>
                <w:rFonts w:ascii="Arial" w:hAnsi="Arial" w:cs="Arial"/>
                <w:sz w:val="20"/>
                <w:szCs w:val="20"/>
              </w:rPr>
            </w:pPr>
            <w:r>
              <w:rPr>
                <w:rFonts w:ascii="Arial" w:hAnsi="Arial" w:cs="Arial"/>
                <w:sz w:val="20"/>
                <w:szCs w:val="20"/>
              </w:rPr>
              <w:t>3.38</w:t>
            </w:r>
          </w:p>
        </w:tc>
        <w:tc>
          <w:tcPr>
            <w:tcW w:w="0" w:type="auto"/>
          </w:tcPr>
          <w:p w:rsidR="00C865F2" w:rsidRDefault="00C865F2" w:rsidP="007D13DB">
            <w:pPr>
              <w:jc w:val="center"/>
              <w:rPr>
                <w:rFonts w:ascii="Arial" w:hAnsi="Arial" w:cs="Arial"/>
                <w:sz w:val="20"/>
                <w:szCs w:val="20"/>
              </w:rPr>
            </w:pPr>
            <w:r>
              <w:rPr>
                <w:rFonts w:ascii="Arial" w:hAnsi="Arial" w:cs="Arial"/>
                <w:sz w:val="20"/>
                <w:szCs w:val="20"/>
              </w:rPr>
              <w:t>1.03</w:t>
            </w:r>
          </w:p>
        </w:tc>
        <w:tc>
          <w:tcPr>
            <w:tcW w:w="0" w:type="auto"/>
          </w:tcPr>
          <w:p w:rsidR="00C865F2" w:rsidRDefault="00C865F2" w:rsidP="007D13DB">
            <w:pPr>
              <w:jc w:val="center"/>
              <w:rPr>
                <w:rFonts w:ascii="Arial" w:hAnsi="Arial" w:cs="Arial"/>
                <w:sz w:val="20"/>
                <w:szCs w:val="20"/>
              </w:rPr>
            </w:pPr>
            <w:r>
              <w:rPr>
                <w:rFonts w:ascii="Arial" w:hAnsi="Arial" w:cs="Arial"/>
                <w:sz w:val="20"/>
                <w:szCs w:val="20"/>
              </w:rPr>
              <w:t>1.69</w:t>
            </w:r>
          </w:p>
        </w:tc>
        <w:tc>
          <w:tcPr>
            <w:tcW w:w="0" w:type="auto"/>
          </w:tcPr>
          <w:p w:rsidR="00C865F2" w:rsidRDefault="00C865F2" w:rsidP="007D13DB">
            <w:pPr>
              <w:jc w:val="center"/>
              <w:rPr>
                <w:rFonts w:ascii="Arial" w:hAnsi="Arial" w:cs="Arial"/>
                <w:sz w:val="20"/>
                <w:szCs w:val="20"/>
              </w:rPr>
            </w:pPr>
            <w:r>
              <w:rPr>
                <w:rFonts w:ascii="Arial" w:hAnsi="Arial" w:cs="Arial"/>
                <w:sz w:val="20"/>
                <w:szCs w:val="20"/>
              </w:rPr>
              <w:t>1.02</w:t>
            </w:r>
          </w:p>
        </w:tc>
        <w:tc>
          <w:tcPr>
            <w:tcW w:w="0" w:type="auto"/>
          </w:tcPr>
          <w:p w:rsidR="00C865F2" w:rsidRDefault="00C865F2" w:rsidP="007D13DB">
            <w:pPr>
              <w:jc w:val="center"/>
              <w:rPr>
                <w:rFonts w:ascii="Arial" w:hAnsi="Arial" w:cs="Arial"/>
                <w:sz w:val="20"/>
                <w:szCs w:val="20"/>
              </w:rPr>
            </w:pPr>
            <w:r>
              <w:rPr>
                <w:rFonts w:ascii="Arial" w:hAnsi="Arial" w:cs="Arial"/>
                <w:sz w:val="20"/>
                <w:szCs w:val="20"/>
              </w:rPr>
              <w:t>1.64</w:t>
            </w:r>
          </w:p>
        </w:tc>
        <w:tc>
          <w:tcPr>
            <w:tcW w:w="0" w:type="auto"/>
          </w:tcPr>
          <w:p w:rsidR="00C865F2" w:rsidRDefault="00C865F2" w:rsidP="007D13DB">
            <w:pPr>
              <w:jc w:val="center"/>
              <w:rPr>
                <w:rFonts w:ascii="Arial" w:hAnsi="Arial" w:cs="Arial"/>
                <w:sz w:val="20"/>
                <w:szCs w:val="20"/>
              </w:rPr>
            </w:pPr>
            <w:r>
              <w:rPr>
                <w:rFonts w:ascii="Arial" w:hAnsi="Arial" w:cs="Arial"/>
                <w:sz w:val="20"/>
                <w:szCs w:val="20"/>
              </w:rPr>
              <w:t>3.05</w:t>
            </w:r>
          </w:p>
        </w:tc>
      </w:tr>
      <w:tr w:rsidR="00C865F2" w:rsidRPr="00B50F02" w:rsidTr="007D13DB">
        <w:tc>
          <w:tcPr>
            <w:tcW w:w="0" w:type="auto"/>
          </w:tcPr>
          <w:p w:rsidR="00C865F2" w:rsidRPr="00B50F02" w:rsidRDefault="00C865F2" w:rsidP="007D13DB">
            <w:pPr>
              <w:rPr>
                <w:rFonts w:ascii="Arial" w:hAnsi="Arial" w:cs="Arial"/>
                <w:sz w:val="20"/>
                <w:szCs w:val="20"/>
              </w:rPr>
            </w:pPr>
          </w:p>
        </w:tc>
        <w:tc>
          <w:tcPr>
            <w:tcW w:w="0" w:type="auto"/>
            <w:gridSpan w:val="8"/>
          </w:tcPr>
          <w:p w:rsidR="00C865F2" w:rsidRPr="00B50F02" w:rsidRDefault="00C865F2" w:rsidP="007D13DB">
            <w:pPr>
              <w:jc w:val="center"/>
              <w:rPr>
                <w:rFonts w:ascii="Arial" w:hAnsi="Arial" w:cs="Arial"/>
                <w:sz w:val="20"/>
                <w:szCs w:val="20"/>
              </w:rPr>
            </w:pPr>
            <w:r>
              <w:rPr>
                <w:rFonts w:ascii="Arial" w:hAnsi="Arial" w:cs="Arial"/>
                <w:sz w:val="20"/>
                <w:szCs w:val="20"/>
              </w:rPr>
              <w:t xml:space="preserve">Relative </w:t>
            </w:r>
            <w:r w:rsidRPr="00B50F02">
              <w:rPr>
                <w:rFonts w:ascii="Arial" w:hAnsi="Arial" w:cs="Arial"/>
                <w:sz w:val="20"/>
                <w:szCs w:val="20"/>
              </w:rPr>
              <w:t>Root MSE</w:t>
            </w:r>
            <w:r>
              <w:rPr>
                <w:rFonts w:ascii="Arial" w:hAnsi="Arial" w:cs="Arial"/>
                <w:sz w:val="20"/>
                <w:szCs w:val="20"/>
              </w:rPr>
              <w:t xml:space="preserve"> for Fed Funds Model Forecasts</w:t>
            </w:r>
            <w:r w:rsidRPr="00B50F02">
              <w:rPr>
                <w:rFonts w:ascii="Arial" w:hAnsi="Arial" w:cs="Arial"/>
                <w:sz w:val="20"/>
                <w:szCs w:val="20"/>
              </w:rPr>
              <w:t xml:space="preserve"> </w:t>
            </w:r>
          </w:p>
        </w:tc>
      </w:tr>
      <w:tr w:rsidR="00C865F2" w:rsidRPr="00B50F02" w:rsidTr="007D13DB">
        <w:trPr>
          <w:trHeight w:val="230"/>
        </w:trPr>
        <w:tc>
          <w:tcPr>
            <w:tcW w:w="0" w:type="auto"/>
          </w:tcPr>
          <w:p w:rsidR="00C865F2" w:rsidRPr="00B50F02" w:rsidRDefault="00C865F2" w:rsidP="007D13DB">
            <w:pPr>
              <w:rPr>
                <w:rFonts w:ascii="Arial" w:hAnsi="Arial" w:cs="Arial"/>
                <w:i/>
                <w:sz w:val="20"/>
                <w:szCs w:val="20"/>
              </w:rPr>
            </w:pPr>
            <w:r w:rsidRPr="00B50F02">
              <w:rPr>
                <w:rFonts w:ascii="Arial" w:hAnsi="Arial" w:cs="Arial"/>
                <w:i/>
                <w:sz w:val="20"/>
                <w:szCs w:val="20"/>
              </w:rPr>
              <w:t>GDP</w:t>
            </w:r>
          </w:p>
        </w:tc>
        <w:tc>
          <w:tcPr>
            <w:tcW w:w="0" w:type="auto"/>
            <w:vMerge w:val="restart"/>
          </w:tcPr>
          <w:p w:rsidR="00C865F2" w:rsidRPr="00E30691" w:rsidRDefault="00C865F2" w:rsidP="007D13DB">
            <w:pPr>
              <w:jc w:val="center"/>
              <w:rPr>
                <w:rFonts w:ascii="Arial" w:hAnsi="Arial" w:cs="Arial"/>
                <w:sz w:val="20"/>
                <w:szCs w:val="20"/>
              </w:rPr>
            </w:pPr>
            <w:r w:rsidRPr="00E30691">
              <w:rPr>
                <w:rFonts w:ascii="Arial" w:hAnsi="Arial" w:cs="Arial"/>
                <w:sz w:val="20"/>
                <w:szCs w:val="20"/>
              </w:rPr>
              <w:t>1.03</w:t>
            </w:r>
          </w:p>
          <w:p w:rsidR="00C865F2" w:rsidRPr="00E30691" w:rsidRDefault="00C865F2" w:rsidP="007D13DB">
            <w:pPr>
              <w:jc w:val="center"/>
              <w:rPr>
                <w:rFonts w:ascii="Arial" w:hAnsi="Arial" w:cs="Arial"/>
                <w:sz w:val="20"/>
                <w:szCs w:val="20"/>
              </w:rPr>
            </w:pPr>
            <w:r w:rsidRPr="00E30691">
              <w:rPr>
                <w:rFonts w:ascii="Arial" w:hAnsi="Arial" w:cs="Arial"/>
                <w:sz w:val="20"/>
                <w:szCs w:val="20"/>
              </w:rPr>
              <w:t>1.08</w:t>
            </w:r>
          </w:p>
          <w:p w:rsidR="00C865F2" w:rsidRPr="00E30691" w:rsidRDefault="00C865F2" w:rsidP="007D13DB">
            <w:pPr>
              <w:jc w:val="center"/>
              <w:rPr>
                <w:rFonts w:ascii="Arial" w:hAnsi="Arial" w:cs="Arial"/>
                <w:sz w:val="20"/>
                <w:szCs w:val="20"/>
              </w:rPr>
            </w:pPr>
            <w:r w:rsidRPr="00E30691">
              <w:rPr>
                <w:rFonts w:ascii="Arial" w:hAnsi="Arial" w:cs="Arial"/>
                <w:sz w:val="20"/>
                <w:szCs w:val="20"/>
              </w:rPr>
              <w:t>1.24</w:t>
            </w:r>
          </w:p>
          <w:p w:rsidR="00C865F2" w:rsidRPr="00E30691" w:rsidRDefault="00C865F2" w:rsidP="007D13DB">
            <w:pPr>
              <w:jc w:val="center"/>
              <w:rPr>
                <w:rFonts w:ascii="Arial" w:hAnsi="Arial" w:cs="Arial"/>
                <w:sz w:val="20"/>
                <w:szCs w:val="20"/>
              </w:rPr>
            </w:pPr>
            <w:r w:rsidRPr="00E30691">
              <w:rPr>
                <w:rFonts w:ascii="Arial" w:hAnsi="Arial" w:cs="Arial"/>
                <w:sz w:val="20"/>
                <w:szCs w:val="20"/>
              </w:rPr>
              <w:t>1.09</w:t>
            </w:r>
          </w:p>
        </w:tc>
        <w:tc>
          <w:tcPr>
            <w:tcW w:w="0" w:type="auto"/>
            <w:vMerge w:val="restart"/>
          </w:tcPr>
          <w:p w:rsidR="00C865F2" w:rsidRPr="00E30691" w:rsidRDefault="00C865F2" w:rsidP="007D13DB">
            <w:pPr>
              <w:jc w:val="center"/>
              <w:rPr>
                <w:rFonts w:ascii="Arial" w:hAnsi="Arial" w:cs="Arial"/>
                <w:sz w:val="20"/>
                <w:szCs w:val="20"/>
              </w:rPr>
            </w:pPr>
            <w:r w:rsidRPr="00E30691">
              <w:rPr>
                <w:rFonts w:ascii="Arial" w:hAnsi="Arial" w:cs="Arial"/>
                <w:sz w:val="20"/>
                <w:szCs w:val="20"/>
              </w:rPr>
              <w:t>1.00</w:t>
            </w:r>
          </w:p>
          <w:p w:rsidR="00C865F2" w:rsidRPr="00E30691" w:rsidRDefault="00C865F2" w:rsidP="007D13DB">
            <w:pPr>
              <w:jc w:val="center"/>
              <w:rPr>
                <w:rFonts w:ascii="Arial" w:hAnsi="Arial" w:cs="Arial"/>
                <w:sz w:val="20"/>
                <w:szCs w:val="20"/>
              </w:rPr>
            </w:pPr>
            <w:r w:rsidRPr="00E30691">
              <w:rPr>
                <w:rFonts w:ascii="Arial" w:hAnsi="Arial" w:cs="Arial"/>
                <w:sz w:val="20"/>
                <w:szCs w:val="20"/>
              </w:rPr>
              <w:t>0.95</w:t>
            </w:r>
          </w:p>
          <w:p w:rsidR="00C865F2" w:rsidRPr="00E30691" w:rsidRDefault="00C865F2" w:rsidP="007D13DB">
            <w:pPr>
              <w:jc w:val="center"/>
              <w:rPr>
                <w:rFonts w:ascii="Arial" w:hAnsi="Arial" w:cs="Arial"/>
                <w:sz w:val="20"/>
                <w:szCs w:val="20"/>
              </w:rPr>
            </w:pPr>
            <w:r w:rsidRPr="00E30691">
              <w:rPr>
                <w:rFonts w:ascii="Arial" w:hAnsi="Arial" w:cs="Arial"/>
                <w:sz w:val="20"/>
                <w:szCs w:val="20"/>
              </w:rPr>
              <w:t>0.87</w:t>
            </w:r>
          </w:p>
          <w:p w:rsidR="00C865F2" w:rsidRPr="00E30691" w:rsidRDefault="00C865F2" w:rsidP="007D13DB">
            <w:pPr>
              <w:jc w:val="center"/>
              <w:rPr>
                <w:rFonts w:ascii="Arial" w:hAnsi="Arial" w:cs="Arial"/>
                <w:sz w:val="20"/>
                <w:szCs w:val="20"/>
              </w:rPr>
            </w:pPr>
            <w:r w:rsidRPr="00E30691">
              <w:rPr>
                <w:rFonts w:ascii="Arial" w:hAnsi="Arial" w:cs="Arial"/>
                <w:sz w:val="20"/>
                <w:szCs w:val="20"/>
              </w:rPr>
              <w:t>0.95</w:t>
            </w:r>
          </w:p>
        </w:tc>
        <w:tc>
          <w:tcPr>
            <w:tcW w:w="0" w:type="auto"/>
            <w:vMerge w:val="restart"/>
          </w:tcPr>
          <w:p w:rsidR="00C865F2" w:rsidRPr="00E30691" w:rsidRDefault="00C865F2" w:rsidP="007D13DB">
            <w:pPr>
              <w:jc w:val="center"/>
              <w:rPr>
                <w:rFonts w:ascii="Arial" w:hAnsi="Arial" w:cs="Arial"/>
                <w:sz w:val="20"/>
                <w:szCs w:val="20"/>
              </w:rPr>
            </w:pPr>
            <w:r w:rsidRPr="00E30691">
              <w:rPr>
                <w:rFonts w:ascii="Arial" w:hAnsi="Arial" w:cs="Arial"/>
                <w:sz w:val="20"/>
                <w:szCs w:val="20"/>
              </w:rPr>
              <w:t>0.84</w:t>
            </w:r>
          </w:p>
          <w:p w:rsidR="00C865F2" w:rsidRPr="00E30691" w:rsidRDefault="00C865F2" w:rsidP="007D13DB">
            <w:pPr>
              <w:jc w:val="center"/>
              <w:rPr>
                <w:rFonts w:ascii="Arial" w:hAnsi="Arial" w:cs="Arial"/>
                <w:sz w:val="20"/>
                <w:szCs w:val="20"/>
              </w:rPr>
            </w:pPr>
            <w:r w:rsidRPr="00E30691">
              <w:rPr>
                <w:rFonts w:ascii="Arial" w:hAnsi="Arial" w:cs="Arial"/>
                <w:sz w:val="20"/>
                <w:szCs w:val="20"/>
              </w:rPr>
              <w:t>1.01</w:t>
            </w:r>
          </w:p>
          <w:p w:rsidR="00C865F2" w:rsidRPr="00E30691" w:rsidRDefault="00C865F2" w:rsidP="007D13DB">
            <w:pPr>
              <w:jc w:val="center"/>
              <w:rPr>
                <w:rFonts w:ascii="Arial" w:hAnsi="Arial" w:cs="Arial"/>
                <w:sz w:val="20"/>
                <w:szCs w:val="20"/>
              </w:rPr>
            </w:pPr>
            <w:r w:rsidRPr="00E30691">
              <w:rPr>
                <w:rFonts w:ascii="Arial" w:hAnsi="Arial" w:cs="Arial"/>
                <w:sz w:val="20"/>
                <w:szCs w:val="20"/>
              </w:rPr>
              <w:t>1.18</w:t>
            </w:r>
          </w:p>
          <w:p w:rsidR="00C865F2" w:rsidRPr="00E30691" w:rsidRDefault="00C865F2" w:rsidP="007D13DB">
            <w:pPr>
              <w:jc w:val="center"/>
              <w:rPr>
                <w:rFonts w:ascii="Arial" w:hAnsi="Arial" w:cs="Arial"/>
                <w:sz w:val="20"/>
                <w:szCs w:val="20"/>
              </w:rPr>
            </w:pPr>
            <w:r w:rsidRPr="00E30691">
              <w:rPr>
                <w:rFonts w:ascii="Arial" w:hAnsi="Arial" w:cs="Arial"/>
                <w:sz w:val="20"/>
                <w:szCs w:val="20"/>
              </w:rPr>
              <w:t>0.97</w:t>
            </w:r>
          </w:p>
        </w:tc>
        <w:tc>
          <w:tcPr>
            <w:tcW w:w="0" w:type="auto"/>
            <w:vMerge w:val="restart"/>
          </w:tcPr>
          <w:p w:rsidR="00C865F2" w:rsidRPr="00E30691" w:rsidRDefault="00C865F2" w:rsidP="007D13DB">
            <w:pPr>
              <w:jc w:val="center"/>
              <w:rPr>
                <w:rFonts w:ascii="Arial" w:hAnsi="Arial" w:cs="Arial"/>
                <w:sz w:val="20"/>
                <w:szCs w:val="20"/>
              </w:rPr>
            </w:pPr>
            <w:r w:rsidRPr="00E30691">
              <w:rPr>
                <w:rFonts w:ascii="Arial" w:hAnsi="Arial" w:cs="Arial"/>
                <w:sz w:val="20"/>
                <w:szCs w:val="20"/>
              </w:rPr>
              <w:t>1.51</w:t>
            </w:r>
          </w:p>
          <w:p w:rsidR="00C865F2" w:rsidRPr="00E30691" w:rsidRDefault="00C865F2" w:rsidP="007D13DB">
            <w:pPr>
              <w:jc w:val="center"/>
              <w:rPr>
                <w:rFonts w:ascii="Arial" w:hAnsi="Arial" w:cs="Arial"/>
                <w:sz w:val="20"/>
                <w:szCs w:val="20"/>
              </w:rPr>
            </w:pPr>
            <w:r w:rsidRPr="00E30691">
              <w:rPr>
                <w:rFonts w:ascii="Arial" w:hAnsi="Arial" w:cs="Arial"/>
                <w:sz w:val="20"/>
                <w:szCs w:val="20"/>
              </w:rPr>
              <w:t>1.38</w:t>
            </w:r>
          </w:p>
          <w:p w:rsidR="00C865F2" w:rsidRPr="00E30691" w:rsidRDefault="00C865F2" w:rsidP="007D13DB">
            <w:pPr>
              <w:jc w:val="center"/>
              <w:rPr>
                <w:rFonts w:ascii="Arial" w:hAnsi="Arial" w:cs="Arial"/>
                <w:sz w:val="20"/>
                <w:szCs w:val="20"/>
              </w:rPr>
            </w:pPr>
            <w:r w:rsidRPr="00E30691">
              <w:rPr>
                <w:rFonts w:ascii="Arial" w:hAnsi="Arial" w:cs="Arial"/>
                <w:sz w:val="20"/>
                <w:szCs w:val="20"/>
              </w:rPr>
              <w:t>1.04</w:t>
            </w:r>
          </w:p>
          <w:p w:rsidR="00C865F2" w:rsidRPr="00E30691" w:rsidRDefault="00C865F2" w:rsidP="007D13DB">
            <w:pPr>
              <w:jc w:val="center"/>
              <w:rPr>
                <w:rFonts w:ascii="Arial" w:hAnsi="Arial" w:cs="Arial"/>
                <w:sz w:val="20"/>
                <w:szCs w:val="20"/>
              </w:rPr>
            </w:pPr>
            <w:r w:rsidRPr="00E30691">
              <w:rPr>
                <w:rFonts w:ascii="Arial" w:hAnsi="Arial" w:cs="Arial"/>
                <w:sz w:val="20"/>
                <w:szCs w:val="20"/>
              </w:rPr>
              <w:t>0.97</w:t>
            </w:r>
          </w:p>
        </w:tc>
        <w:tc>
          <w:tcPr>
            <w:tcW w:w="0" w:type="auto"/>
            <w:vMerge w:val="restart"/>
          </w:tcPr>
          <w:p w:rsidR="00C865F2" w:rsidRPr="00E30691" w:rsidRDefault="00C865F2" w:rsidP="007D13DB">
            <w:pPr>
              <w:jc w:val="center"/>
              <w:rPr>
                <w:rFonts w:ascii="Arial" w:hAnsi="Arial" w:cs="Arial"/>
                <w:sz w:val="20"/>
                <w:szCs w:val="20"/>
              </w:rPr>
            </w:pPr>
            <w:r w:rsidRPr="00E30691">
              <w:rPr>
                <w:rFonts w:ascii="Arial" w:hAnsi="Arial" w:cs="Arial"/>
                <w:sz w:val="20"/>
                <w:szCs w:val="20"/>
              </w:rPr>
              <w:t>1.19</w:t>
            </w:r>
          </w:p>
          <w:p w:rsidR="00C865F2" w:rsidRPr="00E30691" w:rsidRDefault="00C865F2" w:rsidP="007D13DB">
            <w:pPr>
              <w:jc w:val="center"/>
              <w:rPr>
                <w:rFonts w:ascii="Arial" w:hAnsi="Arial" w:cs="Arial"/>
                <w:sz w:val="20"/>
                <w:szCs w:val="20"/>
              </w:rPr>
            </w:pPr>
            <w:r w:rsidRPr="00E30691">
              <w:rPr>
                <w:rFonts w:ascii="Arial" w:hAnsi="Arial" w:cs="Arial"/>
                <w:sz w:val="20"/>
                <w:szCs w:val="20"/>
              </w:rPr>
              <w:t>1.11</w:t>
            </w:r>
          </w:p>
          <w:p w:rsidR="00C865F2" w:rsidRPr="00E30691" w:rsidRDefault="00C865F2" w:rsidP="007D13DB">
            <w:pPr>
              <w:jc w:val="center"/>
              <w:rPr>
                <w:rFonts w:ascii="Arial" w:hAnsi="Arial" w:cs="Arial"/>
                <w:sz w:val="20"/>
                <w:szCs w:val="20"/>
              </w:rPr>
            </w:pPr>
            <w:r w:rsidRPr="00E30691">
              <w:rPr>
                <w:rFonts w:ascii="Arial" w:hAnsi="Arial" w:cs="Arial"/>
                <w:sz w:val="20"/>
                <w:szCs w:val="20"/>
              </w:rPr>
              <w:t>1.18</w:t>
            </w:r>
          </w:p>
          <w:p w:rsidR="00C865F2" w:rsidRPr="00E30691" w:rsidRDefault="00C865F2" w:rsidP="007D13DB">
            <w:pPr>
              <w:jc w:val="center"/>
              <w:rPr>
                <w:rFonts w:ascii="Arial" w:hAnsi="Arial" w:cs="Arial"/>
                <w:sz w:val="20"/>
                <w:szCs w:val="20"/>
              </w:rPr>
            </w:pPr>
            <w:r w:rsidRPr="00E30691">
              <w:rPr>
                <w:rFonts w:ascii="Arial" w:hAnsi="Arial" w:cs="Arial"/>
                <w:sz w:val="20"/>
                <w:szCs w:val="20"/>
              </w:rPr>
              <w:t>1.15</w:t>
            </w:r>
          </w:p>
        </w:tc>
        <w:tc>
          <w:tcPr>
            <w:tcW w:w="0" w:type="auto"/>
            <w:vMerge w:val="restart"/>
          </w:tcPr>
          <w:p w:rsidR="00C865F2" w:rsidRPr="00E30691" w:rsidRDefault="00C865F2" w:rsidP="007D13DB">
            <w:pPr>
              <w:jc w:val="center"/>
              <w:rPr>
                <w:rFonts w:ascii="Arial" w:hAnsi="Arial" w:cs="Arial"/>
                <w:sz w:val="20"/>
                <w:szCs w:val="20"/>
              </w:rPr>
            </w:pPr>
            <w:r w:rsidRPr="00E30691">
              <w:rPr>
                <w:rFonts w:ascii="Arial" w:hAnsi="Arial" w:cs="Arial"/>
                <w:sz w:val="20"/>
                <w:szCs w:val="20"/>
              </w:rPr>
              <w:t>1.03</w:t>
            </w:r>
          </w:p>
          <w:p w:rsidR="00C865F2" w:rsidRPr="00E30691" w:rsidRDefault="00C865F2" w:rsidP="007D13DB">
            <w:pPr>
              <w:jc w:val="center"/>
              <w:rPr>
                <w:rFonts w:ascii="Arial" w:hAnsi="Arial" w:cs="Arial"/>
                <w:sz w:val="20"/>
                <w:szCs w:val="20"/>
              </w:rPr>
            </w:pPr>
            <w:r w:rsidRPr="00E30691">
              <w:rPr>
                <w:rFonts w:ascii="Arial" w:hAnsi="Arial" w:cs="Arial"/>
                <w:sz w:val="20"/>
                <w:szCs w:val="20"/>
              </w:rPr>
              <w:t>0.91</w:t>
            </w:r>
          </w:p>
          <w:p w:rsidR="00C865F2" w:rsidRPr="00E30691" w:rsidRDefault="00C865F2" w:rsidP="007D13DB">
            <w:pPr>
              <w:jc w:val="center"/>
              <w:rPr>
                <w:rFonts w:ascii="Arial" w:hAnsi="Arial" w:cs="Arial"/>
                <w:sz w:val="20"/>
                <w:szCs w:val="20"/>
              </w:rPr>
            </w:pPr>
            <w:r w:rsidRPr="00E30691">
              <w:rPr>
                <w:rFonts w:ascii="Arial" w:hAnsi="Arial" w:cs="Arial"/>
                <w:sz w:val="20"/>
                <w:szCs w:val="20"/>
              </w:rPr>
              <w:t>0.94</w:t>
            </w:r>
          </w:p>
          <w:p w:rsidR="00C865F2" w:rsidRPr="00E30691" w:rsidRDefault="00C865F2" w:rsidP="007D13DB">
            <w:pPr>
              <w:jc w:val="center"/>
              <w:rPr>
                <w:rFonts w:ascii="Arial" w:hAnsi="Arial" w:cs="Arial"/>
                <w:sz w:val="20"/>
                <w:szCs w:val="20"/>
              </w:rPr>
            </w:pPr>
            <w:r w:rsidRPr="00E30691">
              <w:rPr>
                <w:rFonts w:ascii="Arial" w:hAnsi="Arial" w:cs="Arial"/>
                <w:sz w:val="20"/>
                <w:szCs w:val="20"/>
              </w:rPr>
              <w:t>1.08</w:t>
            </w:r>
          </w:p>
        </w:tc>
        <w:tc>
          <w:tcPr>
            <w:tcW w:w="0" w:type="auto"/>
            <w:vMerge w:val="restart"/>
          </w:tcPr>
          <w:p w:rsidR="00C865F2" w:rsidRPr="00E30691" w:rsidRDefault="00C865F2" w:rsidP="007D13DB">
            <w:pPr>
              <w:jc w:val="center"/>
              <w:rPr>
                <w:rFonts w:ascii="Arial" w:hAnsi="Arial" w:cs="Arial"/>
                <w:sz w:val="20"/>
                <w:szCs w:val="20"/>
              </w:rPr>
            </w:pPr>
            <w:r w:rsidRPr="00E30691">
              <w:rPr>
                <w:rFonts w:ascii="Arial" w:hAnsi="Arial" w:cs="Arial"/>
                <w:sz w:val="20"/>
                <w:szCs w:val="20"/>
              </w:rPr>
              <w:t>1.21</w:t>
            </w:r>
          </w:p>
          <w:p w:rsidR="00C865F2" w:rsidRPr="00E30691" w:rsidRDefault="00C865F2" w:rsidP="007D13DB">
            <w:pPr>
              <w:jc w:val="center"/>
              <w:rPr>
                <w:rFonts w:ascii="Arial" w:hAnsi="Arial" w:cs="Arial"/>
                <w:sz w:val="20"/>
                <w:szCs w:val="20"/>
              </w:rPr>
            </w:pPr>
            <w:r w:rsidRPr="00E30691">
              <w:rPr>
                <w:rFonts w:ascii="Arial" w:hAnsi="Arial" w:cs="Arial"/>
                <w:sz w:val="20"/>
                <w:szCs w:val="20"/>
              </w:rPr>
              <w:t>1.00</w:t>
            </w:r>
          </w:p>
          <w:p w:rsidR="00C865F2" w:rsidRPr="00E30691" w:rsidRDefault="00C865F2" w:rsidP="007D13DB">
            <w:pPr>
              <w:jc w:val="center"/>
              <w:rPr>
                <w:rFonts w:ascii="Arial" w:hAnsi="Arial" w:cs="Arial"/>
                <w:sz w:val="20"/>
                <w:szCs w:val="20"/>
              </w:rPr>
            </w:pPr>
            <w:r w:rsidRPr="00E30691">
              <w:rPr>
                <w:rFonts w:ascii="Arial" w:hAnsi="Arial" w:cs="Arial"/>
                <w:sz w:val="20"/>
                <w:szCs w:val="20"/>
              </w:rPr>
              <w:t>1.01</w:t>
            </w:r>
          </w:p>
          <w:p w:rsidR="00C865F2" w:rsidRPr="00E30691" w:rsidRDefault="00C865F2" w:rsidP="007D13DB">
            <w:pPr>
              <w:jc w:val="center"/>
              <w:rPr>
                <w:rFonts w:ascii="Arial" w:hAnsi="Arial" w:cs="Arial"/>
                <w:sz w:val="20"/>
                <w:szCs w:val="20"/>
              </w:rPr>
            </w:pPr>
            <w:r w:rsidRPr="00E30691">
              <w:rPr>
                <w:rFonts w:ascii="Arial" w:hAnsi="Arial" w:cs="Arial"/>
                <w:sz w:val="20"/>
                <w:szCs w:val="20"/>
              </w:rPr>
              <w:t>1.14</w:t>
            </w:r>
          </w:p>
        </w:tc>
        <w:tc>
          <w:tcPr>
            <w:tcW w:w="0" w:type="auto"/>
            <w:vMerge w:val="restart"/>
          </w:tcPr>
          <w:p w:rsidR="00C865F2" w:rsidRPr="00904E90" w:rsidRDefault="00C865F2" w:rsidP="007D13DB">
            <w:pPr>
              <w:jc w:val="center"/>
              <w:rPr>
                <w:rFonts w:ascii="Arial" w:hAnsi="Arial" w:cs="Arial"/>
                <w:sz w:val="20"/>
                <w:szCs w:val="20"/>
              </w:rPr>
            </w:pPr>
            <w:r w:rsidRPr="00904E90">
              <w:rPr>
                <w:rFonts w:ascii="Arial" w:hAnsi="Arial" w:cs="Arial"/>
                <w:sz w:val="20"/>
                <w:szCs w:val="20"/>
              </w:rPr>
              <w:t>1.15</w:t>
            </w:r>
          </w:p>
          <w:p w:rsidR="00C865F2" w:rsidRPr="00904E90" w:rsidRDefault="00C865F2" w:rsidP="007D13DB">
            <w:pPr>
              <w:jc w:val="center"/>
              <w:rPr>
                <w:rFonts w:ascii="Arial" w:hAnsi="Arial" w:cs="Arial"/>
                <w:sz w:val="20"/>
                <w:szCs w:val="20"/>
              </w:rPr>
            </w:pPr>
            <w:r w:rsidRPr="00904E90">
              <w:rPr>
                <w:rFonts w:ascii="Arial" w:hAnsi="Arial" w:cs="Arial"/>
                <w:sz w:val="20"/>
                <w:szCs w:val="20"/>
              </w:rPr>
              <w:t>1.14</w:t>
            </w:r>
          </w:p>
          <w:p w:rsidR="00C865F2" w:rsidRPr="00904E90" w:rsidRDefault="00C865F2" w:rsidP="007D13DB">
            <w:pPr>
              <w:jc w:val="center"/>
              <w:rPr>
                <w:rFonts w:ascii="Arial" w:hAnsi="Arial" w:cs="Arial"/>
                <w:sz w:val="20"/>
                <w:szCs w:val="20"/>
              </w:rPr>
            </w:pPr>
            <w:r w:rsidRPr="00904E90">
              <w:rPr>
                <w:rFonts w:ascii="Arial" w:hAnsi="Arial" w:cs="Arial"/>
                <w:sz w:val="20"/>
                <w:szCs w:val="20"/>
              </w:rPr>
              <w:t>1.15</w:t>
            </w:r>
          </w:p>
          <w:p w:rsidR="00C865F2" w:rsidRPr="00E30691" w:rsidRDefault="00C865F2" w:rsidP="007D13DB">
            <w:pPr>
              <w:jc w:val="center"/>
              <w:rPr>
                <w:rFonts w:ascii="Arial" w:hAnsi="Arial" w:cs="Arial"/>
                <w:sz w:val="20"/>
                <w:szCs w:val="20"/>
              </w:rPr>
            </w:pPr>
            <w:r w:rsidRPr="00904E90">
              <w:rPr>
                <w:rFonts w:ascii="Arial" w:hAnsi="Arial" w:cs="Arial"/>
                <w:sz w:val="20"/>
                <w:szCs w:val="20"/>
              </w:rPr>
              <w:t>1.19</w:t>
            </w:r>
          </w:p>
        </w:tc>
      </w:tr>
      <w:tr w:rsidR="00C865F2" w:rsidRPr="00B50F02" w:rsidTr="007D13DB">
        <w:trPr>
          <w:trHeight w:val="230"/>
        </w:trPr>
        <w:tc>
          <w:tcPr>
            <w:tcW w:w="0" w:type="auto"/>
          </w:tcPr>
          <w:p w:rsidR="00C865F2" w:rsidRPr="00B50F02" w:rsidRDefault="00C865F2" w:rsidP="007D13DB">
            <w:pPr>
              <w:rPr>
                <w:rFonts w:ascii="Arial" w:hAnsi="Arial" w:cs="Arial"/>
                <w:i/>
                <w:sz w:val="20"/>
                <w:szCs w:val="20"/>
              </w:rPr>
            </w:pPr>
            <w:r w:rsidRPr="00B50F02">
              <w:rPr>
                <w:rFonts w:ascii="Arial" w:hAnsi="Arial" w:cs="Arial"/>
                <w:i/>
                <w:sz w:val="20"/>
                <w:szCs w:val="20"/>
              </w:rPr>
              <w:t>IP</w:t>
            </w: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r>
      <w:tr w:rsidR="00C865F2" w:rsidRPr="00B50F02" w:rsidTr="007D13DB">
        <w:trPr>
          <w:trHeight w:val="230"/>
        </w:trPr>
        <w:tc>
          <w:tcPr>
            <w:tcW w:w="0" w:type="auto"/>
          </w:tcPr>
          <w:p w:rsidR="00C865F2" w:rsidRPr="00B50F02" w:rsidRDefault="00C865F2" w:rsidP="007D13DB">
            <w:pPr>
              <w:rPr>
                <w:rFonts w:ascii="Arial" w:hAnsi="Arial" w:cs="Arial"/>
                <w:i/>
                <w:sz w:val="20"/>
                <w:szCs w:val="20"/>
              </w:rPr>
            </w:pPr>
            <w:r w:rsidRPr="00B50F02">
              <w:rPr>
                <w:rFonts w:ascii="Arial" w:hAnsi="Arial" w:cs="Arial"/>
                <w:i/>
                <w:sz w:val="20"/>
                <w:szCs w:val="20"/>
              </w:rPr>
              <w:t>Employment</w:t>
            </w: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r>
      <w:tr w:rsidR="00C865F2" w:rsidRPr="00B50F02" w:rsidTr="007D13DB">
        <w:trPr>
          <w:trHeight w:val="230"/>
        </w:trPr>
        <w:tc>
          <w:tcPr>
            <w:tcW w:w="0" w:type="auto"/>
          </w:tcPr>
          <w:p w:rsidR="00C865F2" w:rsidRPr="00B50F02" w:rsidRDefault="00C865F2" w:rsidP="007D13DB">
            <w:pPr>
              <w:rPr>
                <w:rFonts w:ascii="Arial" w:hAnsi="Arial" w:cs="Arial"/>
                <w:i/>
                <w:sz w:val="20"/>
                <w:szCs w:val="20"/>
              </w:rPr>
            </w:pPr>
            <w:r w:rsidRPr="00B50F02">
              <w:rPr>
                <w:rFonts w:ascii="Arial" w:hAnsi="Arial" w:cs="Arial"/>
                <w:i/>
                <w:sz w:val="20"/>
                <w:szCs w:val="20"/>
              </w:rPr>
              <w:t>Unemp Rate</w:t>
            </w: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c>
          <w:tcPr>
            <w:tcW w:w="0" w:type="auto"/>
            <w:vMerge/>
          </w:tcPr>
          <w:p w:rsidR="00C865F2" w:rsidRPr="00B50F02" w:rsidRDefault="00C865F2" w:rsidP="007D13DB">
            <w:pPr>
              <w:jc w:val="center"/>
              <w:rPr>
                <w:rFonts w:ascii="Arial" w:hAnsi="Arial" w:cs="Arial"/>
                <w:sz w:val="20"/>
                <w:szCs w:val="20"/>
              </w:rPr>
            </w:pPr>
          </w:p>
        </w:tc>
      </w:tr>
      <w:tr w:rsidR="00C865F2" w:rsidRPr="00330075" w:rsidTr="007D13DB">
        <w:tc>
          <w:tcPr>
            <w:tcW w:w="0" w:type="auto"/>
          </w:tcPr>
          <w:p w:rsidR="00C865F2" w:rsidRPr="00882126" w:rsidRDefault="00C865F2" w:rsidP="007D13DB">
            <w:pPr>
              <w:rPr>
                <w:rFonts w:ascii="Arial" w:hAnsi="Arial" w:cs="Arial"/>
                <w:i/>
                <w:sz w:val="20"/>
                <w:szCs w:val="20"/>
              </w:rPr>
            </w:pPr>
          </w:p>
        </w:tc>
        <w:tc>
          <w:tcPr>
            <w:tcW w:w="0" w:type="auto"/>
            <w:gridSpan w:val="8"/>
          </w:tcPr>
          <w:p w:rsidR="00C865F2" w:rsidRPr="004C7408" w:rsidRDefault="00C865F2" w:rsidP="007D13DB">
            <w:pPr>
              <w:jc w:val="center"/>
              <w:rPr>
                <w:rFonts w:ascii="Arial" w:hAnsi="Arial" w:cs="Arial"/>
                <w:sz w:val="20"/>
                <w:szCs w:val="20"/>
              </w:rPr>
            </w:pPr>
            <w:r>
              <w:rPr>
                <w:rFonts w:ascii="Arial" w:hAnsi="Arial" w:cs="Arial"/>
                <w:sz w:val="20"/>
                <w:szCs w:val="20"/>
              </w:rPr>
              <w:t xml:space="preserve">Average Relative </w:t>
            </w:r>
            <w:r w:rsidRPr="00B50F02">
              <w:rPr>
                <w:rFonts w:ascii="Arial" w:hAnsi="Arial" w:cs="Arial"/>
                <w:sz w:val="20"/>
                <w:szCs w:val="20"/>
              </w:rPr>
              <w:t>Root MSE</w:t>
            </w:r>
            <w:r>
              <w:rPr>
                <w:rFonts w:ascii="Arial" w:hAnsi="Arial" w:cs="Arial"/>
                <w:sz w:val="20"/>
                <w:szCs w:val="20"/>
              </w:rPr>
              <w:t xml:space="preserve"> for Financial Indicator Model Forecasts</w:t>
            </w:r>
          </w:p>
        </w:tc>
      </w:tr>
      <w:tr w:rsidR="00C865F2" w:rsidRPr="00330075" w:rsidTr="007D13DB">
        <w:tc>
          <w:tcPr>
            <w:tcW w:w="0" w:type="auto"/>
          </w:tcPr>
          <w:p w:rsidR="00C865F2" w:rsidRPr="00882126" w:rsidRDefault="00C865F2" w:rsidP="007D13DB">
            <w:pPr>
              <w:rPr>
                <w:rFonts w:ascii="Arial" w:hAnsi="Arial" w:cs="Arial"/>
                <w:i/>
                <w:sz w:val="20"/>
                <w:szCs w:val="20"/>
              </w:rPr>
            </w:pPr>
            <w:r>
              <w:rPr>
                <w:rFonts w:ascii="Arial" w:hAnsi="Arial" w:cs="Arial"/>
                <w:i/>
                <w:sz w:val="20"/>
                <w:szCs w:val="20"/>
              </w:rPr>
              <w:t>Fed Funds</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1.11</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0.94</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1.22</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1.16</w:t>
            </w:r>
          </w:p>
        </w:tc>
      </w:tr>
      <w:tr w:rsidR="00C865F2" w:rsidRPr="00330075" w:rsidTr="007D13DB">
        <w:tc>
          <w:tcPr>
            <w:tcW w:w="0" w:type="auto"/>
          </w:tcPr>
          <w:p w:rsidR="00C865F2" w:rsidRPr="00882126" w:rsidRDefault="00C865F2" w:rsidP="007D13DB">
            <w:pPr>
              <w:rPr>
                <w:rFonts w:ascii="Arial" w:hAnsi="Arial" w:cs="Arial"/>
                <w:i/>
                <w:sz w:val="20"/>
                <w:szCs w:val="20"/>
              </w:rPr>
            </w:pPr>
            <w:r w:rsidRPr="00882126">
              <w:rPr>
                <w:rFonts w:ascii="Arial" w:hAnsi="Arial" w:cs="Arial"/>
                <w:i/>
                <w:sz w:val="20"/>
                <w:szCs w:val="20"/>
              </w:rPr>
              <w:t>Term Spread</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0.94</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1.71</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1.21</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1.07</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1.08</w:t>
            </w:r>
          </w:p>
        </w:tc>
      </w:tr>
      <w:tr w:rsidR="00C865F2" w:rsidRPr="00B50F02" w:rsidTr="007D13DB">
        <w:tc>
          <w:tcPr>
            <w:tcW w:w="0" w:type="auto"/>
          </w:tcPr>
          <w:p w:rsidR="00C865F2" w:rsidRPr="00882126" w:rsidRDefault="00C865F2" w:rsidP="007D13DB">
            <w:pPr>
              <w:rPr>
                <w:rFonts w:ascii="Arial" w:hAnsi="Arial" w:cs="Arial"/>
                <w:i/>
                <w:sz w:val="20"/>
                <w:szCs w:val="20"/>
              </w:rPr>
            </w:pPr>
            <w:r>
              <w:rPr>
                <w:rFonts w:ascii="Arial" w:hAnsi="Arial" w:cs="Arial"/>
                <w:i/>
                <w:sz w:val="20"/>
                <w:szCs w:val="20"/>
              </w:rPr>
              <w:t xml:space="preserve">Short-term </w:t>
            </w:r>
            <w:r w:rsidRPr="00882126">
              <w:rPr>
                <w:rFonts w:ascii="Arial" w:hAnsi="Arial" w:cs="Arial"/>
                <w:i/>
                <w:sz w:val="20"/>
                <w:szCs w:val="20"/>
              </w:rPr>
              <w:t>Credit Spread</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0.67</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0.67</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0.79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1.75</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1.41</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1.07</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1.42</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0.83</w:t>
            </w:r>
          </w:p>
        </w:tc>
      </w:tr>
      <w:tr w:rsidR="00C865F2" w:rsidRPr="00B50F02" w:rsidTr="007D13DB">
        <w:trPr>
          <w:trHeight w:val="251"/>
        </w:trPr>
        <w:tc>
          <w:tcPr>
            <w:tcW w:w="0" w:type="auto"/>
          </w:tcPr>
          <w:p w:rsidR="00C865F2" w:rsidRPr="00882126" w:rsidRDefault="00C865F2" w:rsidP="007D13DB">
            <w:pPr>
              <w:rPr>
                <w:rFonts w:ascii="Arial" w:hAnsi="Arial" w:cs="Arial"/>
                <w:i/>
                <w:sz w:val="20"/>
                <w:szCs w:val="20"/>
              </w:rPr>
            </w:pPr>
            <w:r w:rsidRPr="00882126">
              <w:rPr>
                <w:rFonts w:ascii="Arial" w:hAnsi="Arial" w:cs="Arial"/>
                <w:i/>
                <w:sz w:val="20"/>
                <w:szCs w:val="20"/>
              </w:rPr>
              <w:t>Real M2</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0.65</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1.67</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1.27</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1.39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1.19</w:t>
            </w:r>
          </w:p>
        </w:tc>
      </w:tr>
      <w:tr w:rsidR="00C865F2" w:rsidRPr="008D4A2E" w:rsidTr="007D13DB">
        <w:trPr>
          <w:trHeight w:val="170"/>
        </w:trPr>
        <w:tc>
          <w:tcPr>
            <w:tcW w:w="0" w:type="auto"/>
          </w:tcPr>
          <w:p w:rsidR="00C865F2" w:rsidRPr="00882126" w:rsidRDefault="00C865F2" w:rsidP="007D13DB">
            <w:pPr>
              <w:rPr>
                <w:rFonts w:ascii="Arial" w:hAnsi="Arial" w:cs="Arial"/>
                <w:i/>
                <w:sz w:val="20"/>
                <w:szCs w:val="20"/>
              </w:rPr>
            </w:pPr>
            <w:r w:rsidRPr="00882126">
              <w:rPr>
                <w:rFonts w:ascii="Arial" w:hAnsi="Arial" w:cs="Arial"/>
                <w:i/>
                <w:sz w:val="20"/>
                <w:szCs w:val="20"/>
              </w:rPr>
              <w:t>SP500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0.74</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0.88</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1.88</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1.18</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0.87</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0.84</w:t>
            </w:r>
          </w:p>
        </w:tc>
      </w:tr>
      <w:tr w:rsidR="00C865F2" w:rsidRPr="008D4A2E" w:rsidTr="007D13DB">
        <w:trPr>
          <w:trHeight w:val="170"/>
        </w:trPr>
        <w:tc>
          <w:tcPr>
            <w:tcW w:w="0" w:type="auto"/>
          </w:tcPr>
          <w:p w:rsidR="00C865F2" w:rsidRPr="004C7408" w:rsidRDefault="00C865F2" w:rsidP="007D13DB">
            <w:pP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r>
      <w:tr w:rsidR="00C865F2" w:rsidRPr="008D4A2E" w:rsidTr="007D13DB">
        <w:trPr>
          <w:trHeight w:val="170"/>
        </w:trPr>
        <w:tc>
          <w:tcPr>
            <w:tcW w:w="0" w:type="auto"/>
          </w:tcPr>
          <w:p w:rsidR="00C865F2" w:rsidRPr="004C7408" w:rsidRDefault="00C865F2" w:rsidP="007D13DB">
            <w:pPr>
              <w:rPr>
                <w:rFonts w:ascii="Arial" w:hAnsi="Arial" w:cs="Arial"/>
                <w:sz w:val="20"/>
                <w:szCs w:val="20"/>
              </w:rPr>
            </w:pPr>
            <w:r w:rsidRPr="004C7408">
              <w:rPr>
                <w:rFonts w:ascii="Arial" w:hAnsi="Arial" w:cs="Arial"/>
                <w:sz w:val="20"/>
                <w:szCs w:val="20"/>
              </w:rPr>
              <w:t>Average</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0.81</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0.92</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0.92</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1.65</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1.19</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1.11</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1.17</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1.02</w:t>
            </w:r>
          </w:p>
        </w:tc>
      </w:tr>
    </w:tbl>
    <w:p w:rsidR="00C865F2" w:rsidRPr="009A3DC0" w:rsidRDefault="00C865F2" w:rsidP="00C865F2">
      <w:pPr>
        <w:ind w:left="1080"/>
        <w:jc w:val="center"/>
      </w:pPr>
      <w:r>
        <w:t xml:space="preserve">(b) </w:t>
      </w:r>
      <w:r>
        <w:rPr>
          <w:i/>
        </w:rPr>
        <w:t xml:space="preserve">h </w:t>
      </w:r>
      <w:r>
        <w:t>=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1"/>
        <w:gridCol w:w="837"/>
        <w:gridCol w:w="837"/>
        <w:gridCol w:w="887"/>
        <w:gridCol w:w="887"/>
        <w:gridCol w:w="887"/>
        <w:gridCol w:w="887"/>
        <w:gridCol w:w="887"/>
        <w:gridCol w:w="827"/>
      </w:tblGrid>
      <w:tr w:rsidR="00C865F2" w:rsidRPr="00B50F02" w:rsidTr="007D13DB">
        <w:trPr>
          <w:trHeight w:val="470"/>
        </w:trPr>
        <w:tc>
          <w:tcPr>
            <w:tcW w:w="0" w:type="auto"/>
          </w:tcPr>
          <w:p w:rsidR="00C865F2" w:rsidRPr="00B50F02" w:rsidRDefault="00C865F2" w:rsidP="007D13DB">
            <w:pPr>
              <w:rPr>
                <w:rFonts w:ascii="Arial" w:hAnsi="Arial" w:cs="Arial"/>
                <w:sz w:val="20"/>
                <w:szCs w:val="20"/>
              </w:rPr>
            </w:pP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1970.I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1974.IV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1975.I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1979.IV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1980.I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1984. 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 xml:space="preserve">1985.I -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1989. 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 xml:space="preserve">1990.I -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1994. 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 xml:space="preserve">1995.I -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1999. 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 xml:space="preserve">2000.I -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2004. IV  </w:t>
            </w:r>
          </w:p>
        </w:tc>
        <w:tc>
          <w:tcPr>
            <w:tcW w:w="0" w:type="auto"/>
          </w:tcPr>
          <w:p w:rsidR="00C865F2" w:rsidRPr="000F3F73" w:rsidRDefault="00C865F2" w:rsidP="007D13DB">
            <w:pPr>
              <w:rPr>
                <w:rFonts w:ascii="Arial" w:hAnsi="Arial" w:cs="Arial"/>
                <w:sz w:val="18"/>
                <w:szCs w:val="18"/>
              </w:rPr>
            </w:pPr>
            <w:r w:rsidRPr="000F3F73">
              <w:rPr>
                <w:rFonts w:ascii="Arial" w:hAnsi="Arial" w:cs="Arial"/>
                <w:sz w:val="18"/>
                <w:szCs w:val="18"/>
              </w:rPr>
              <w:t>2005.I -</w:t>
            </w:r>
          </w:p>
          <w:p w:rsidR="00C865F2" w:rsidRPr="000F3F73" w:rsidRDefault="00C865F2" w:rsidP="007D13DB">
            <w:pPr>
              <w:rPr>
                <w:rFonts w:ascii="Arial" w:hAnsi="Arial" w:cs="Arial"/>
                <w:sz w:val="18"/>
                <w:szCs w:val="18"/>
              </w:rPr>
            </w:pPr>
            <w:r w:rsidRPr="000F3F73">
              <w:rPr>
                <w:rFonts w:ascii="Arial" w:hAnsi="Arial" w:cs="Arial"/>
                <w:sz w:val="18"/>
                <w:szCs w:val="18"/>
              </w:rPr>
              <w:t xml:space="preserve">EOS </w:t>
            </w:r>
          </w:p>
        </w:tc>
      </w:tr>
      <w:tr w:rsidR="00C865F2" w:rsidRPr="00B50F02" w:rsidTr="007D13DB">
        <w:tc>
          <w:tcPr>
            <w:tcW w:w="0" w:type="auto"/>
          </w:tcPr>
          <w:p w:rsidR="00C865F2" w:rsidRPr="00B50F02" w:rsidRDefault="00C865F2" w:rsidP="007D13DB">
            <w:pPr>
              <w:rPr>
                <w:rFonts w:ascii="Arial" w:hAnsi="Arial" w:cs="Arial"/>
                <w:sz w:val="20"/>
                <w:szCs w:val="20"/>
              </w:rPr>
            </w:pPr>
          </w:p>
        </w:tc>
        <w:tc>
          <w:tcPr>
            <w:tcW w:w="0" w:type="auto"/>
            <w:gridSpan w:val="8"/>
          </w:tcPr>
          <w:p w:rsidR="00C865F2" w:rsidRPr="00B50F02" w:rsidRDefault="00C865F2" w:rsidP="007D13DB">
            <w:pPr>
              <w:jc w:val="center"/>
              <w:rPr>
                <w:rFonts w:ascii="Arial" w:hAnsi="Arial" w:cs="Arial"/>
                <w:sz w:val="20"/>
                <w:szCs w:val="20"/>
              </w:rPr>
            </w:pPr>
            <w:r w:rsidRPr="00B50F02">
              <w:rPr>
                <w:rFonts w:ascii="Arial" w:hAnsi="Arial" w:cs="Arial"/>
                <w:sz w:val="20"/>
                <w:szCs w:val="20"/>
              </w:rPr>
              <w:t>Root MSE for AR Forecasts</w:t>
            </w:r>
          </w:p>
        </w:tc>
      </w:tr>
      <w:tr w:rsidR="00C865F2" w:rsidRPr="00B50F02" w:rsidTr="007D13DB">
        <w:tc>
          <w:tcPr>
            <w:tcW w:w="0" w:type="auto"/>
          </w:tcPr>
          <w:p w:rsidR="00C865F2" w:rsidRPr="00B50F02" w:rsidRDefault="00C865F2" w:rsidP="007D13DB">
            <w:pPr>
              <w:rPr>
                <w:rFonts w:ascii="Arial" w:hAnsi="Arial" w:cs="Arial"/>
                <w:i/>
                <w:sz w:val="20"/>
                <w:szCs w:val="20"/>
              </w:rPr>
            </w:pPr>
            <w:r w:rsidRPr="00B50F02">
              <w:rPr>
                <w:rFonts w:ascii="Arial" w:hAnsi="Arial" w:cs="Arial"/>
                <w:i/>
                <w:sz w:val="20"/>
                <w:szCs w:val="20"/>
              </w:rPr>
              <w:t>GDP</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3.55</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2.46</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3.33</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0.99</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1.75</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1.01</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1.41</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3.17</w:t>
            </w:r>
          </w:p>
        </w:tc>
      </w:tr>
      <w:tr w:rsidR="00C865F2" w:rsidRPr="00B50F02" w:rsidTr="007D13DB">
        <w:tc>
          <w:tcPr>
            <w:tcW w:w="0" w:type="auto"/>
          </w:tcPr>
          <w:p w:rsidR="00C865F2" w:rsidRPr="00B50F02" w:rsidRDefault="00C865F2" w:rsidP="007D13DB">
            <w:pPr>
              <w:rPr>
                <w:rFonts w:ascii="Arial" w:hAnsi="Arial" w:cs="Arial"/>
                <w:i/>
                <w:sz w:val="20"/>
                <w:szCs w:val="20"/>
              </w:rPr>
            </w:pPr>
            <w:r>
              <w:rPr>
                <w:rFonts w:ascii="Arial" w:hAnsi="Arial" w:cs="Arial"/>
                <w:i/>
                <w:sz w:val="20"/>
                <w:szCs w:val="20"/>
              </w:rPr>
              <w:t>Employment</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2.13</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1.78</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2.20</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0.65</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1.33</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0.38</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1.46</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2.52</w:t>
            </w:r>
          </w:p>
        </w:tc>
      </w:tr>
      <w:tr w:rsidR="00C865F2" w:rsidRPr="00B50F02" w:rsidTr="007D13DB">
        <w:tc>
          <w:tcPr>
            <w:tcW w:w="0" w:type="auto"/>
          </w:tcPr>
          <w:p w:rsidR="00C865F2" w:rsidRPr="00B50F02" w:rsidRDefault="00C865F2" w:rsidP="007D13DB">
            <w:pPr>
              <w:rPr>
                <w:rFonts w:ascii="Arial" w:hAnsi="Arial" w:cs="Arial"/>
                <w:i/>
                <w:sz w:val="20"/>
                <w:szCs w:val="20"/>
              </w:rPr>
            </w:pPr>
            <w:r>
              <w:rPr>
                <w:rFonts w:ascii="Arial" w:hAnsi="Arial" w:cs="Arial"/>
                <w:i/>
                <w:sz w:val="20"/>
                <w:szCs w:val="20"/>
              </w:rPr>
              <w:t>IP</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8.19</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4.13</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5.64</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2.33</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2.50</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2.16</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3.54</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6.87</w:t>
            </w:r>
          </w:p>
        </w:tc>
      </w:tr>
      <w:tr w:rsidR="00C865F2" w:rsidRPr="00B50F02" w:rsidTr="007D13DB">
        <w:tc>
          <w:tcPr>
            <w:tcW w:w="0" w:type="auto"/>
          </w:tcPr>
          <w:p w:rsidR="00C865F2" w:rsidRPr="00B50F02" w:rsidRDefault="00C865F2" w:rsidP="007D13DB">
            <w:pPr>
              <w:rPr>
                <w:rFonts w:ascii="Arial" w:hAnsi="Arial" w:cs="Arial"/>
                <w:i/>
                <w:sz w:val="20"/>
                <w:szCs w:val="20"/>
              </w:rPr>
            </w:pPr>
            <w:r w:rsidRPr="00B50F02">
              <w:rPr>
                <w:rFonts w:ascii="Arial" w:hAnsi="Arial" w:cs="Arial"/>
                <w:i/>
                <w:sz w:val="20"/>
                <w:szCs w:val="20"/>
              </w:rPr>
              <w:t>Unemp Rate</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1.58</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1.08</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1.56</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0.51</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0.75</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0.32</w:t>
            </w:r>
          </w:p>
        </w:tc>
        <w:tc>
          <w:tcPr>
            <w:tcW w:w="0" w:type="auto"/>
          </w:tcPr>
          <w:p w:rsidR="00C865F2" w:rsidRPr="006F08D4" w:rsidRDefault="00C865F2" w:rsidP="007D13DB">
            <w:pPr>
              <w:jc w:val="center"/>
              <w:rPr>
                <w:rFonts w:ascii="Arial" w:hAnsi="Arial" w:cs="Arial"/>
                <w:sz w:val="20"/>
                <w:szCs w:val="20"/>
              </w:rPr>
            </w:pPr>
            <w:r w:rsidRPr="006F08D4">
              <w:rPr>
                <w:rFonts w:ascii="Arial" w:hAnsi="Arial" w:cs="Arial"/>
                <w:sz w:val="20"/>
                <w:szCs w:val="20"/>
              </w:rPr>
              <w:t>0.69</w:t>
            </w:r>
          </w:p>
        </w:tc>
        <w:tc>
          <w:tcPr>
            <w:tcW w:w="0" w:type="auto"/>
          </w:tcPr>
          <w:p w:rsidR="00C865F2" w:rsidRPr="00904E90" w:rsidRDefault="00C865F2" w:rsidP="007D13DB">
            <w:pPr>
              <w:jc w:val="center"/>
              <w:rPr>
                <w:rFonts w:ascii="Arial" w:hAnsi="Arial" w:cs="Arial"/>
                <w:sz w:val="20"/>
                <w:szCs w:val="20"/>
              </w:rPr>
            </w:pPr>
            <w:r w:rsidRPr="006F08D4">
              <w:rPr>
                <w:rFonts w:ascii="Arial" w:hAnsi="Arial" w:cs="Arial"/>
                <w:sz w:val="20"/>
                <w:szCs w:val="20"/>
              </w:rPr>
              <w:t>1.63</w:t>
            </w:r>
          </w:p>
        </w:tc>
      </w:tr>
      <w:tr w:rsidR="00C865F2" w:rsidRPr="00B50F02" w:rsidTr="007D13DB">
        <w:tc>
          <w:tcPr>
            <w:tcW w:w="0" w:type="auto"/>
          </w:tcPr>
          <w:p w:rsidR="00C865F2" w:rsidRPr="00B50F02" w:rsidRDefault="00C865F2" w:rsidP="007D13DB">
            <w:pPr>
              <w:rPr>
                <w:rFonts w:ascii="Arial" w:hAnsi="Arial" w:cs="Arial"/>
                <w:i/>
                <w:sz w:val="20"/>
                <w:szCs w:val="20"/>
              </w:rPr>
            </w:pPr>
            <w:r>
              <w:rPr>
                <w:rFonts w:ascii="Arial" w:hAnsi="Arial" w:cs="Arial"/>
                <w:i/>
                <w:sz w:val="20"/>
                <w:szCs w:val="20"/>
              </w:rPr>
              <w:t>Average</w:t>
            </w:r>
          </w:p>
        </w:tc>
        <w:tc>
          <w:tcPr>
            <w:tcW w:w="0" w:type="auto"/>
          </w:tcPr>
          <w:p w:rsidR="00C865F2" w:rsidRPr="00B50F02" w:rsidRDefault="00C865F2" w:rsidP="007D13DB">
            <w:pPr>
              <w:jc w:val="center"/>
              <w:rPr>
                <w:rFonts w:ascii="Arial" w:hAnsi="Arial" w:cs="Arial"/>
                <w:sz w:val="20"/>
                <w:szCs w:val="20"/>
              </w:rPr>
            </w:pPr>
            <w:r>
              <w:rPr>
                <w:rFonts w:ascii="Arial" w:hAnsi="Arial" w:cs="Arial"/>
                <w:sz w:val="20"/>
                <w:szCs w:val="20"/>
              </w:rPr>
              <w:t>3.86</w:t>
            </w:r>
          </w:p>
        </w:tc>
        <w:tc>
          <w:tcPr>
            <w:tcW w:w="0" w:type="auto"/>
          </w:tcPr>
          <w:p w:rsidR="00C865F2" w:rsidRPr="00B50F02" w:rsidRDefault="00C865F2" w:rsidP="007D13DB">
            <w:pPr>
              <w:jc w:val="center"/>
              <w:rPr>
                <w:rFonts w:ascii="Arial" w:hAnsi="Arial" w:cs="Arial"/>
                <w:sz w:val="20"/>
                <w:szCs w:val="20"/>
              </w:rPr>
            </w:pPr>
            <w:r>
              <w:rPr>
                <w:rFonts w:ascii="Arial" w:hAnsi="Arial" w:cs="Arial"/>
                <w:sz w:val="20"/>
                <w:szCs w:val="20"/>
              </w:rPr>
              <w:t>2.36</w:t>
            </w:r>
          </w:p>
        </w:tc>
        <w:tc>
          <w:tcPr>
            <w:tcW w:w="0" w:type="auto"/>
          </w:tcPr>
          <w:p w:rsidR="00C865F2" w:rsidRPr="00B50F02" w:rsidRDefault="00C865F2" w:rsidP="007D13DB">
            <w:pPr>
              <w:jc w:val="center"/>
              <w:rPr>
                <w:rFonts w:ascii="Arial" w:hAnsi="Arial" w:cs="Arial"/>
                <w:sz w:val="20"/>
                <w:szCs w:val="20"/>
              </w:rPr>
            </w:pPr>
            <w:r>
              <w:rPr>
                <w:rFonts w:ascii="Arial" w:hAnsi="Arial" w:cs="Arial"/>
                <w:sz w:val="20"/>
                <w:szCs w:val="20"/>
              </w:rPr>
              <w:t>3.18</w:t>
            </w:r>
          </w:p>
        </w:tc>
        <w:tc>
          <w:tcPr>
            <w:tcW w:w="0" w:type="auto"/>
          </w:tcPr>
          <w:p w:rsidR="00C865F2" w:rsidRPr="00B50F02" w:rsidRDefault="00C865F2" w:rsidP="007D13DB">
            <w:pPr>
              <w:jc w:val="center"/>
              <w:rPr>
                <w:rFonts w:ascii="Arial" w:hAnsi="Arial" w:cs="Arial"/>
                <w:sz w:val="20"/>
                <w:szCs w:val="20"/>
              </w:rPr>
            </w:pPr>
            <w:r>
              <w:rPr>
                <w:rFonts w:ascii="Arial" w:hAnsi="Arial" w:cs="Arial"/>
                <w:sz w:val="20"/>
                <w:szCs w:val="20"/>
              </w:rPr>
              <w:t>1.12</w:t>
            </w:r>
          </w:p>
        </w:tc>
        <w:tc>
          <w:tcPr>
            <w:tcW w:w="0" w:type="auto"/>
          </w:tcPr>
          <w:p w:rsidR="00C865F2" w:rsidRPr="00B50F02" w:rsidRDefault="00C865F2" w:rsidP="007D13DB">
            <w:pPr>
              <w:jc w:val="center"/>
              <w:rPr>
                <w:rFonts w:ascii="Arial" w:hAnsi="Arial" w:cs="Arial"/>
                <w:sz w:val="20"/>
                <w:szCs w:val="20"/>
              </w:rPr>
            </w:pPr>
            <w:r>
              <w:rPr>
                <w:rFonts w:ascii="Arial" w:hAnsi="Arial" w:cs="Arial"/>
                <w:sz w:val="20"/>
                <w:szCs w:val="20"/>
              </w:rPr>
              <w:t>1.58</w:t>
            </w:r>
          </w:p>
        </w:tc>
        <w:tc>
          <w:tcPr>
            <w:tcW w:w="0" w:type="auto"/>
          </w:tcPr>
          <w:p w:rsidR="00C865F2" w:rsidRPr="00B50F02" w:rsidRDefault="00C865F2" w:rsidP="007D13DB">
            <w:pPr>
              <w:jc w:val="center"/>
              <w:rPr>
                <w:rFonts w:ascii="Arial" w:hAnsi="Arial" w:cs="Arial"/>
                <w:sz w:val="20"/>
                <w:szCs w:val="20"/>
              </w:rPr>
            </w:pPr>
            <w:r>
              <w:rPr>
                <w:rFonts w:ascii="Arial" w:hAnsi="Arial" w:cs="Arial"/>
                <w:sz w:val="20"/>
                <w:szCs w:val="20"/>
              </w:rPr>
              <w:t>0.97</w:t>
            </w:r>
          </w:p>
        </w:tc>
        <w:tc>
          <w:tcPr>
            <w:tcW w:w="0" w:type="auto"/>
          </w:tcPr>
          <w:p w:rsidR="00C865F2" w:rsidRPr="00B50F02" w:rsidRDefault="00C865F2" w:rsidP="007D13DB">
            <w:pPr>
              <w:jc w:val="center"/>
              <w:rPr>
                <w:rFonts w:ascii="Arial" w:hAnsi="Arial" w:cs="Arial"/>
                <w:sz w:val="20"/>
                <w:szCs w:val="20"/>
              </w:rPr>
            </w:pPr>
            <w:r>
              <w:rPr>
                <w:rFonts w:ascii="Arial" w:hAnsi="Arial" w:cs="Arial"/>
                <w:sz w:val="20"/>
                <w:szCs w:val="20"/>
              </w:rPr>
              <w:t>1.78</w:t>
            </w:r>
          </w:p>
        </w:tc>
        <w:tc>
          <w:tcPr>
            <w:tcW w:w="0" w:type="auto"/>
          </w:tcPr>
          <w:p w:rsidR="00C865F2" w:rsidRPr="00B50F02" w:rsidRDefault="00C865F2" w:rsidP="007D13DB">
            <w:pPr>
              <w:jc w:val="center"/>
              <w:rPr>
                <w:rFonts w:ascii="Arial" w:hAnsi="Arial" w:cs="Arial"/>
                <w:sz w:val="20"/>
                <w:szCs w:val="20"/>
              </w:rPr>
            </w:pPr>
            <w:r>
              <w:rPr>
                <w:rFonts w:ascii="Arial" w:hAnsi="Arial" w:cs="Arial"/>
                <w:sz w:val="20"/>
                <w:szCs w:val="20"/>
              </w:rPr>
              <w:t>3.55</w:t>
            </w:r>
          </w:p>
        </w:tc>
      </w:tr>
      <w:tr w:rsidR="00C865F2" w:rsidRPr="00B50F02" w:rsidTr="007D13DB">
        <w:tc>
          <w:tcPr>
            <w:tcW w:w="0" w:type="auto"/>
          </w:tcPr>
          <w:p w:rsidR="00C865F2" w:rsidRPr="00B50F02" w:rsidRDefault="00C865F2" w:rsidP="007D13DB">
            <w:pPr>
              <w:rPr>
                <w:rFonts w:ascii="Arial" w:hAnsi="Arial" w:cs="Arial"/>
                <w:sz w:val="20"/>
                <w:szCs w:val="20"/>
              </w:rPr>
            </w:pPr>
            <w:r w:rsidRPr="00B50F02">
              <w:rPr>
                <w:rFonts w:ascii="Arial" w:hAnsi="Arial" w:cs="Arial"/>
                <w:sz w:val="20"/>
                <w:szCs w:val="20"/>
              </w:rPr>
              <w:t>Financial</w:t>
            </w:r>
          </w:p>
          <w:p w:rsidR="00C865F2" w:rsidRPr="00B50F02" w:rsidRDefault="00C865F2" w:rsidP="007D13DB">
            <w:pPr>
              <w:rPr>
                <w:rFonts w:ascii="Arial" w:hAnsi="Arial" w:cs="Arial"/>
                <w:sz w:val="20"/>
                <w:szCs w:val="20"/>
              </w:rPr>
            </w:pPr>
            <w:r w:rsidRPr="00B50F02">
              <w:rPr>
                <w:rFonts w:ascii="Arial" w:hAnsi="Arial" w:cs="Arial"/>
                <w:sz w:val="20"/>
                <w:szCs w:val="20"/>
              </w:rPr>
              <w:t>Indicator</w:t>
            </w:r>
          </w:p>
        </w:tc>
        <w:tc>
          <w:tcPr>
            <w:tcW w:w="0" w:type="auto"/>
            <w:gridSpan w:val="8"/>
          </w:tcPr>
          <w:p w:rsidR="00C865F2" w:rsidRPr="00B50F02" w:rsidRDefault="00C865F2" w:rsidP="007D13DB">
            <w:pPr>
              <w:jc w:val="center"/>
              <w:rPr>
                <w:rFonts w:ascii="Arial" w:hAnsi="Arial" w:cs="Arial"/>
                <w:sz w:val="20"/>
                <w:szCs w:val="20"/>
              </w:rPr>
            </w:pPr>
            <w:r>
              <w:rPr>
                <w:rFonts w:ascii="Arial" w:hAnsi="Arial" w:cs="Arial"/>
                <w:sz w:val="20"/>
                <w:szCs w:val="20"/>
              </w:rPr>
              <w:t xml:space="preserve">Average Relative </w:t>
            </w:r>
            <w:r w:rsidRPr="00B50F02">
              <w:rPr>
                <w:rFonts w:ascii="Arial" w:hAnsi="Arial" w:cs="Arial"/>
                <w:sz w:val="20"/>
                <w:szCs w:val="20"/>
              </w:rPr>
              <w:t xml:space="preserve">Root MSE </w:t>
            </w:r>
          </w:p>
        </w:tc>
      </w:tr>
      <w:tr w:rsidR="00C865F2" w:rsidRPr="00B50F02" w:rsidTr="007D13DB">
        <w:tc>
          <w:tcPr>
            <w:tcW w:w="0" w:type="auto"/>
          </w:tcPr>
          <w:p w:rsidR="00C865F2" w:rsidRPr="00882126" w:rsidRDefault="00C865F2" w:rsidP="007D13DB">
            <w:pPr>
              <w:rPr>
                <w:rFonts w:ascii="Arial" w:hAnsi="Arial" w:cs="Arial"/>
                <w:i/>
                <w:sz w:val="20"/>
                <w:szCs w:val="20"/>
              </w:rPr>
            </w:pPr>
            <w:r w:rsidRPr="00882126">
              <w:rPr>
                <w:rFonts w:ascii="Arial" w:hAnsi="Arial" w:cs="Arial"/>
                <w:i/>
                <w:sz w:val="20"/>
                <w:szCs w:val="20"/>
              </w:rPr>
              <w:t>Fed Funds</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0.84</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1.02</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0.84</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1.36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1.25</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1.12</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1.15</w:t>
            </w:r>
          </w:p>
        </w:tc>
      </w:tr>
      <w:tr w:rsidR="00C865F2" w:rsidRPr="00330075" w:rsidTr="007D13DB">
        <w:tc>
          <w:tcPr>
            <w:tcW w:w="0" w:type="auto"/>
          </w:tcPr>
          <w:p w:rsidR="00C865F2" w:rsidRPr="00882126" w:rsidRDefault="00C865F2" w:rsidP="007D13DB">
            <w:pPr>
              <w:rPr>
                <w:rFonts w:ascii="Arial" w:hAnsi="Arial" w:cs="Arial"/>
                <w:i/>
                <w:sz w:val="20"/>
                <w:szCs w:val="20"/>
              </w:rPr>
            </w:pPr>
            <w:r w:rsidRPr="00882126">
              <w:rPr>
                <w:rFonts w:ascii="Arial" w:hAnsi="Arial" w:cs="Arial"/>
                <w:i/>
                <w:sz w:val="20"/>
                <w:szCs w:val="20"/>
              </w:rPr>
              <w:t>Term Spread</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0.75</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0.87</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1.98</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1.26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1.40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1.05</w:t>
            </w:r>
          </w:p>
        </w:tc>
      </w:tr>
      <w:tr w:rsidR="00C865F2" w:rsidRPr="00B50F02" w:rsidTr="007D13DB">
        <w:tc>
          <w:tcPr>
            <w:tcW w:w="0" w:type="auto"/>
          </w:tcPr>
          <w:p w:rsidR="00C865F2" w:rsidRPr="00882126" w:rsidRDefault="00C865F2" w:rsidP="007D13DB">
            <w:pPr>
              <w:rPr>
                <w:rFonts w:ascii="Arial" w:hAnsi="Arial" w:cs="Arial"/>
                <w:i/>
                <w:sz w:val="20"/>
                <w:szCs w:val="20"/>
              </w:rPr>
            </w:pPr>
            <w:r>
              <w:rPr>
                <w:rFonts w:ascii="Arial" w:hAnsi="Arial" w:cs="Arial"/>
                <w:i/>
                <w:sz w:val="20"/>
                <w:szCs w:val="20"/>
              </w:rPr>
              <w:t xml:space="preserve">Short-term </w:t>
            </w:r>
            <w:r w:rsidRPr="00882126">
              <w:rPr>
                <w:rFonts w:ascii="Arial" w:hAnsi="Arial" w:cs="Arial"/>
                <w:i/>
                <w:sz w:val="20"/>
                <w:szCs w:val="20"/>
              </w:rPr>
              <w:t>Credit Spread</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0.71</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0.78</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1.43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1.33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1.40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0.89</w:t>
            </w:r>
          </w:p>
        </w:tc>
      </w:tr>
      <w:tr w:rsidR="00C865F2" w:rsidRPr="00B50F02" w:rsidTr="007D13DB">
        <w:trPr>
          <w:trHeight w:val="251"/>
        </w:trPr>
        <w:tc>
          <w:tcPr>
            <w:tcW w:w="0" w:type="auto"/>
          </w:tcPr>
          <w:p w:rsidR="00C865F2" w:rsidRPr="00882126" w:rsidRDefault="00C865F2" w:rsidP="007D13DB">
            <w:pPr>
              <w:rPr>
                <w:rFonts w:ascii="Arial" w:hAnsi="Arial" w:cs="Arial"/>
                <w:i/>
                <w:sz w:val="20"/>
                <w:szCs w:val="20"/>
              </w:rPr>
            </w:pPr>
            <w:r w:rsidRPr="00882126">
              <w:rPr>
                <w:rFonts w:ascii="Arial" w:hAnsi="Arial" w:cs="Arial"/>
                <w:i/>
                <w:sz w:val="20"/>
                <w:szCs w:val="20"/>
              </w:rPr>
              <w:t>Real M2</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0.47</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0.95</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1.63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1.38</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1.43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1.14</w:t>
            </w:r>
          </w:p>
        </w:tc>
      </w:tr>
      <w:tr w:rsidR="00C865F2" w:rsidRPr="008D4A2E" w:rsidTr="007D13DB">
        <w:trPr>
          <w:trHeight w:val="170"/>
        </w:trPr>
        <w:tc>
          <w:tcPr>
            <w:tcW w:w="0" w:type="auto"/>
          </w:tcPr>
          <w:p w:rsidR="00C865F2" w:rsidRPr="00882126" w:rsidRDefault="00C865F2" w:rsidP="007D13DB">
            <w:pPr>
              <w:rPr>
                <w:rFonts w:ascii="Arial" w:hAnsi="Arial" w:cs="Arial"/>
                <w:i/>
                <w:sz w:val="20"/>
                <w:szCs w:val="20"/>
              </w:rPr>
            </w:pPr>
            <w:r w:rsidRPr="00882126">
              <w:rPr>
                <w:rFonts w:ascii="Arial" w:hAnsi="Arial" w:cs="Arial"/>
                <w:i/>
                <w:sz w:val="20"/>
                <w:szCs w:val="20"/>
              </w:rPr>
              <w:t>SP500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0.76</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1.14</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1.73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1.04</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0.87</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0.89</w:t>
            </w:r>
          </w:p>
        </w:tc>
      </w:tr>
      <w:tr w:rsidR="00C865F2" w:rsidRPr="008D4A2E" w:rsidTr="007D13DB">
        <w:trPr>
          <w:trHeight w:val="170"/>
        </w:trPr>
        <w:tc>
          <w:tcPr>
            <w:tcW w:w="0" w:type="auto"/>
          </w:tcPr>
          <w:p w:rsidR="00C865F2" w:rsidRPr="004C7408" w:rsidRDefault="00C865F2" w:rsidP="007D13DB">
            <w:pP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c>
          <w:tcPr>
            <w:tcW w:w="0" w:type="auto"/>
          </w:tcPr>
          <w:p w:rsidR="00C865F2" w:rsidRPr="004C7408" w:rsidRDefault="00C865F2" w:rsidP="007D13DB">
            <w:pPr>
              <w:jc w:val="center"/>
              <w:rPr>
                <w:rFonts w:ascii="Arial" w:hAnsi="Arial" w:cs="Arial"/>
                <w:sz w:val="20"/>
                <w:szCs w:val="20"/>
              </w:rPr>
            </w:pPr>
          </w:p>
        </w:tc>
      </w:tr>
      <w:tr w:rsidR="00C865F2" w:rsidRPr="008D4A2E" w:rsidTr="007D13DB">
        <w:trPr>
          <w:trHeight w:val="170"/>
        </w:trPr>
        <w:tc>
          <w:tcPr>
            <w:tcW w:w="0" w:type="auto"/>
          </w:tcPr>
          <w:p w:rsidR="00C865F2" w:rsidRPr="004C7408" w:rsidRDefault="00C865F2" w:rsidP="007D13DB">
            <w:pPr>
              <w:rPr>
                <w:rFonts w:ascii="Arial" w:hAnsi="Arial" w:cs="Arial"/>
                <w:sz w:val="20"/>
                <w:szCs w:val="20"/>
              </w:rPr>
            </w:pPr>
            <w:r w:rsidRPr="004C7408">
              <w:rPr>
                <w:rFonts w:ascii="Arial" w:hAnsi="Arial" w:cs="Arial"/>
                <w:sz w:val="20"/>
                <w:szCs w:val="20"/>
              </w:rPr>
              <w:t>Average</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0.71</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0.95</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0.86</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1.63</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1.24</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1.12</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1.18</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1.02</w:t>
            </w:r>
          </w:p>
        </w:tc>
      </w:tr>
    </w:tbl>
    <w:p w:rsidR="00C865F2" w:rsidRDefault="00C865F2" w:rsidP="00C865F2">
      <w:pPr>
        <w:ind w:left="1080"/>
      </w:pPr>
    </w:p>
    <w:p w:rsidR="00C865F2" w:rsidRDefault="00C865F2" w:rsidP="00C865F2">
      <w:pPr>
        <w:ind w:left="-450" w:right="-360"/>
        <w:rPr>
          <w:rFonts w:ascii="Times New Roman" w:hAnsi="Times New Roman"/>
        </w:rPr>
        <w:sectPr w:rsidR="00C865F2">
          <w:pgSz w:w="12240" w:h="15840"/>
          <w:pgMar w:top="1440" w:right="1440" w:bottom="1440" w:left="1440" w:header="720" w:footer="720" w:gutter="0"/>
          <w:cols w:space="720"/>
          <w:docGrid w:linePitch="360"/>
        </w:sectPr>
      </w:pPr>
      <w:r w:rsidRPr="00CD186A">
        <w:rPr>
          <w:rFonts w:ascii="Times New Roman" w:hAnsi="Times New Roman"/>
        </w:rPr>
        <w:t>Notes: The top panels of the tables show the root mean square forecast errors (RMSE) for the AR models over the indicated sample periods for the real activity variable listed in the first column of the table.  The bottom panels shows the corresponding RMSE of the forecasts based on the financial indicators relative to the AR forecasts.  The four entries for each financial indicator correspond to the four real activity variables (GDP, IP, Employment, Unemployment Rate).  The last rows the table shows the average relative RMSE across the real activity and financial indicators.</w:t>
      </w:r>
    </w:p>
    <w:p w:rsidR="00C865F2" w:rsidRPr="003E5DAE" w:rsidRDefault="00C865F2" w:rsidP="00C865F2">
      <w:pPr>
        <w:jc w:val="center"/>
        <w:rPr>
          <w:rFonts w:ascii="Times New Roman" w:hAnsi="Times New Roman"/>
          <w:b/>
        </w:rPr>
      </w:pPr>
      <w:r w:rsidRPr="00CD186A">
        <w:rPr>
          <w:rFonts w:ascii="Times New Roman" w:hAnsi="Times New Roman"/>
          <w:b/>
        </w:rPr>
        <w:t>Table 3.3:</w:t>
      </w:r>
      <w:r>
        <w:rPr>
          <w:rFonts w:ascii="Times New Roman" w:hAnsi="Times New Roman"/>
          <w:b/>
        </w:rPr>
        <w:t xml:space="preserve"> </w:t>
      </w:r>
      <w:r w:rsidRPr="00CD186A">
        <w:rPr>
          <w:rFonts w:ascii="Times New Roman" w:hAnsi="Times New Roman"/>
          <w:b/>
        </w:rPr>
        <w:t>Average Relative RMSE for Various FCI forecasting models</w:t>
      </w:r>
    </w:p>
    <w:p w:rsidR="00C865F2" w:rsidRPr="00DB15BC" w:rsidRDefault="00C865F2" w:rsidP="00C865F2">
      <w:pPr>
        <w:jc w:val="center"/>
      </w:pPr>
    </w:p>
    <w:p w:rsidR="00C865F2" w:rsidRPr="00DB15BC" w:rsidRDefault="00C865F2" w:rsidP="00C865F2">
      <w:pPr>
        <w:jc w:val="center"/>
      </w:pPr>
      <w:r w:rsidRPr="00DB15BC">
        <w:t xml:space="preserve">(a) </w:t>
      </w:r>
      <w:r w:rsidRPr="00DB15BC">
        <w:rPr>
          <w:i/>
        </w:rPr>
        <w:t xml:space="preserve">h </w:t>
      </w:r>
      <w:r w:rsidRPr="00DB15BC">
        <w:t>=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5"/>
        <w:gridCol w:w="906"/>
        <w:gridCol w:w="906"/>
        <w:gridCol w:w="962"/>
        <w:gridCol w:w="962"/>
        <w:gridCol w:w="962"/>
        <w:gridCol w:w="962"/>
        <w:gridCol w:w="962"/>
        <w:gridCol w:w="895"/>
      </w:tblGrid>
      <w:tr w:rsidR="00C865F2" w:rsidRPr="00DB15BC" w:rsidTr="007D13DB">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FCI</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1970.I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1974.IV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1975.I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1979.IV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1980.I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1984. 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1985.I -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1989. 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1990.I -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1994. 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1995.I -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1999. 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 xml:space="preserve">2000.I -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2004. 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2005.I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EOS </w:t>
            </w:r>
          </w:p>
        </w:tc>
      </w:tr>
      <w:tr w:rsidR="00C865F2" w:rsidRPr="00DB15BC"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BLOOMBERG</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0.94</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0.92</w:t>
            </w:r>
          </w:p>
        </w:tc>
      </w:tr>
      <w:tr w:rsidR="00C865F2" w:rsidRPr="00DB15BC"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CITI</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r w:rsidRPr="00E30691">
              <w:rPr>
                <w:rFonts w:ascii="Arial" w:hAnsi="Arial" w:cs="Arial"/>
                <w:sz w:val="20"/>
                <w:szCs w:val="20"/>
              </w:rPr>
              <w:t>0.93</w:t>
            </w:r>
          </w:p>
        </w:tc>
        <w:tc>
          <w:tcPr>
            <w:tcW w:w="0" w:type="auto"/>
          </w:tcPr>
          <w:p w:rsidR="00C865F2" w:rsidRPr="00E30691" w:rsidRDefault="00C865F2" w:rsidP="007D13DB">
            <w:pPr>
              <w:jc w:val="center"/>
              <w:rPr>
                <w:rFonts w:ascii="Arial" w:hAnsi="Arial" w:cs="Arial"/>
                <w:sz w:val="20"/>
                <w:szCs w:val="20"/>
              </w:rPr>
            </w:pPr>
            <w:r w:rsidRPr="00E30691">
              <w:rPr>
                <w:rFonts w:ascii="Arial" w:hAnsi="Arial" w:cs="Arial"/>
                <w:sz w:val="20"/>
                <w:szCs w:val="20"/>
              </w:rPr>
              <w:t>0.78</w:t>
            </w:r>
          </w:p>
        </w:tc>
        <w:tc>
          <w:tcPr>
            <w:tcW w:w="0" w:type="auto"/>
          </w:tcPr>
          <w:p w:rsidR="00C865F2" w:rsidRPr="00E30691" w:rsidRDefault="00C865F2" w:rsidP="007D13DB">
            <w:pPr>
              <w:jc w:val="center"/>
              <w:rPr>
                <w:rFonts w:ascii="Arial" w:hAnsi="Arial" w:cs="Arial"/>
                <w:sz w:val="20"/>
                <w:szCs w:val="20"/>
              </w:rPr>
            </w:pPr>
            <w:r w:rsidRPr="00E30691">
              <w:rPr>
                <w:rFonts w:ascii="Arial" w:hAnsi="Arial" w:cs="Arial"/>
                <w:sz w:val="20"/>
                <w:szCs w:val="20"/>
              </w:rPr>
              <w:t>0.8</w:t>
            </w:r>
            <w:r>
              <w:rPr>
                <w:rFonts w:ascii="Arial" w:hAnsi="Arial" w:cs="Arial"/>
                <w:sz w:val="20"/>
                <w:szCs w:val="20"/>
              </w:rPr>
              <w:t>8</w:t>
            </w:r>
          </w:p>
        </w:tc>
      </w:tr>
      <w:tr w:rsidR="00C865F2" w:rsidRPr="00DB15BC"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DB (PC)</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r w:rsidRPr="00E30691">
              <w:rPr>
                <w:rFonts w:ascii="Arial" w:hAnsi="Arial" w:cs="Arial"/>
                <w:sz w:val="20"/>
                <w:szCs w:val="20"/>
              </w:rPr>
              <w:t>0.91</w:t>
            </w:r>
          </w:p>
        </w:tc>
        <w:tc>
          <w:tcPr>
            <w:tcW w:w="0" w:type="auto"/>
          </w:tcPr>
          <w:p w:rsidR="00C865F2" w:rsidRPr="00E30691" w:rsidRDefault="00C865F2" w:rsidP="007D13DB">
            <w:pPr>
              <w:jc w:val="center"/>
              <w:rPr>
                <w:rFonts w:ascii="Arial" w:hAnsi="Arial" w:cs="Arial"/>
                <w:sz w:val="20"/>
                <w:szCs w:val="20"/>
              </w:rPr>
            </w:pPr>
            <w:r w:rsidRPr="00E30691">
              <w:rPr>
                <w:rFonts w:ascii="Arial" w:hAnsi="Arial" w:cs="Arial"/>
                <w:sz w:val="20"/>
                <w:szCs w:val="20"/>
              </w:rPr>
              <w:t>0.</w:t>
            </w:r>
            <w:r>
              <w:rPr>
                <w:rFonts w:ascii="Arial" w:hAnsi="Arial" w:cs="Arial"/>
                <w:sz w:val="20"/>
                <w:szCs w:val="20"/>
              </w:rPr>
              <w:t>91</w:t>
            </w:r>
          </w:p>
        </w:tc>
      </w:tr>
      <w:tr w:rsidR="00C865F2" w:rsidRPr="00DB15BC"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DB (FCI)</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0.90</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0.87</w:t>
            </w:r>
          </w:p>
        </w:tc>
      </w:tr>
      <w:tr w:rsidR="00C865F2" w:rsidRPr="00DB15BC"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 xml:space="preserve">GS </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r w:rsidRPr="00904E90">
              <w:rPr>
                <w:rFonts w:ascii="Arial" w:hAnsi="Arial" w:cs="Arial"/>
                <w:sz w:val="20"/>
                <w:szCs w:val="20"/>
              </w:rPr>
              <w:t>1.26</w:t>
            </w:r>
          </w:p>
        </w:tc>
        <w:tc>
          <w:tcPr>
            <w:tcW w:w="0" w:type="auto"/>
          </w:tcPr>
          <w:p w:rsidR="00C865F2" w:rsidRPr="00E30691" w:rsidRDefault="00C865F2" w:rsidP="007D13DB">
            <w:pPr>
              <w:jc w:val="center"/>
              <w:rPr>
                <w:rFonts w:ascii="Arial" w:hAnsi="Arial" w:cs="Arial"/>
                <w:sz w:val="20"/>
                <w:szCs w:val="20"/>
              </w:rPr>
            </w:pPr>
            <w:r w:rsidRPr="00904E90">
              <w:rPr>
                <w:rFonts w:ascii="Arial" w:hAnsi="Arial" w:cs="Arial"/>
                <w:sz w:val="20"/>
                <w:szCs w:val="20"/>
              </w:rPr>
              <w:t>1.02</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0.84</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0.94</w:t>
            </w:r>
          </w:p>
        </w:tc>
      </w:tr>
      <w:tr w:rsidR="00C865F2" w:rsidRPr="00DB15BC"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KCFSI</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r w:rsidRPr="00904E90">
              <w:rPr>
                <w:rFonts w:ascii="Arial" w:hAnsi="Arial" w:cs="Arial"/>
                <w:sz w:val="20"/>
                <w:szCs w:val="20"/>
              </w:rPr>
              <w:t>0.95</w:t>
            </w:r>
          </w:p>
        </w:tc>
        <w:tc>
          <w:tcPr>
            <w:tcW w:w="0" w:type="auto"/>
          </w:tcPr>
          <w:p w:rsidR="00C865F2" w:rsidRDefault="00C865F2" w:rsidP="007D13DB">
            <w:pPr>
              <w:jc w:val="center"/>
              <w:rPr>
                <w:rFonts w:ascii="Arial" w:hAnsi="Arial" w:cs="Arial"/>
                <w:sz w:val="20"/>
                <w:szCs w:val="20"/>
              </w:rPr>
            </w:pPr>
            <w:r w:rsidRPr="00904E90">
              <w:rPr>
                <w:rFonts w:ascii="Arial" w:hAnsi="Arial" w:cs="Arial"/>
                <w:sz w:val="20"/>
                <w:szCs w:val="20"/>
              </w:rPr>
              <w:t>1.00</w:t>
            </w:r>
          </w:p>
        </w:tc>
      </w:tr>
      <w:tr w:rsidR="00C865F2" w:rsidRPr="00DB15BC"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MA</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r w:rsidRPr="00E30691">
              <w:rPr>
                <w:rFonts w:ascii="Arial" w:hAnsi="Arial" w:cs="Arial"/>
                <w:sz w:val="20"/>
                <w:szCs w:val="20"/>
              </w:rPr>
              <w:t>1.17</w:t>
            </w:r>
          </w:p>
        </w:tc>
        <w:tc>
          <w:tcPr>
            <w:tcW w:w="0" w:type="auto"/>
          </w:tcPr>
          <w:p w:rsidR="00C865F2" w:rsidRPr="00E30691" w:rsidRDefault="00C865F2" w:rsidP="007D13DB">
            <w:pPr>
              <w:jc w:val="center"/>
              <w:rPr>
                <w:rFonts w:ascii="Arial" w:hAnsi="Arial" w:cs="Arial"/>
                <w:sz w:val="20"/>
                <w:szCs w:val="20"/>
              </w:rPr>
            </w:pPr>
            <w:r w:rsidRPr="00E30691">
              <w:rPr>
                <w:rFonts w:ascii="Arial" w:hAnsi="Arial" w:cs="Arial"/>
                <w:sz w:val="20"/>
                <w:szCs w:val="20"/>
              </w:rPr>
              <w:t>0.96</w:t>
            </w:r>
          </w:p>
        </w:tc>
        <w:tc>
          <w:tcPr>
            <w:tcW w:w="0" w:type="auto"/>
          </w:tcPr>
          <w:p w:rsidR="00C865F2" w:rsidRDefault="00C865F2" w:rsidP="007D13DB">
            <w:pPr>
              <w:jc w:val="center"/>
              <w:rPr>
                <w:rFonts w:ascii="Arial" w:hAnsi="Arial" w:cs="Arial"/>
                <w:sz w:val="20"/>
                <w:szCs w:val="20"/>
              </w:rPr>
            </w:pPr>
            <w:r w:rsidRPr="00E30691">
              <w:rPr>
                <w:rFonts w:ascii="Arial" w:hAnsi="Arial" w:cs="Arial"/>
                <w:sz w:val="20"/>
                <w:szCs w:val="20"/>
              </w:rPr>
              <w:t>0</w:t>
            </w:r>
            <w:r>
              <w:rPr>
                <w:rFonts w:ascii="Arial" w:hAnsi="Arial" w:cs="Arial"/>
                <w:sz w:val="20"/>
                <w:szCs w:val="20"/>
              </w:rPr>
              <w:t>.95</w:t>
            </w:r>
          </w:p>
        </w:tc>
      </w:tr>
      <w:tr w:rsidR="00C865F2" w:rsidRPr="00DB15BC"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OECD</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p>
        </w:tc>
        <w:tc>
          <w:tcPr>
            <w:tcW w:w="0" w:type="auto"/>
          </w:tcPr>
          <w:p w:rsidR="00C865F2" w:rsidRPr="00E30691" w:rsidRDefault="00C865F2" w:rsidP="007D13DB">
            <w:pPr>
              <w:jc w:val="center"/>
              <w:rPr>
                <w:rFonts w:ascii="Arial" w:hAnsi="Arial" w:cs="Arial"/>
                <w:sz w:val="20"/>
                <w:szCs w:val="20"/>
              </w:rPr>
            </w:pPr>
            <w:r>
              <w:rPr>
                <w:rFonts w:ascii="Arial" w:hAnsi="Arial" w:cs="Arial"/>
                <w:sz w:val="20"/>
                <w:szCs w:val="20"/>
              </w:rPr>
              <w:t>1.11</w:t>
            </w:r>
          </w:p>
        </w:tc>
      </w:tr>
      <w:tr w:rsidR="00C865F2" w:rsidRPr="00DB15BC" w:rsidTr="007D13DB">
        <w:tc>
          <w:tcPr>
            <w:tcW w:w="0" w:type="auto"/>
          </w:tcPr>
          <w:p w:rsidR="00C865F2" w:rsidRPr="00DE651B" w:rsidRDefault="00C865F2" w:rsidP="007D13DB">
            <w:pP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vAlign w:val="bottom"/>
          </w:tcPr>
          <w:p w:rsidR="00C865F2" w:rsidRPr="00DE651B" w:rsidRDefault="00C865F2" w:rsidP="007D13DB">
            <w:pPr>
              <w:jc w:val="center"/>
              <w:rPr>
                <w:rFonts w:ascii="Arial" w:hAnsi="Arial" w:cs="Arial"/>
                <w:sz w:val="20"/>
                <w:szCs w:val="20"/>
              </w:rPr>
            </w:pPr>
          </w:p>
        </w:tc>
        <w:tc>
          <w:tcPr>
            <w:tcW w:w="0" w:type="auto"/>
            <w:vAlign w:val="bottom"/>
          </w:tcPr>
          <w:p w:rsidR="00C865F2" w:rsidRPr="00DE651B" w:rsidRDefault="00C865F2" w:rsidP="007D13DB">
            <w:pPr>
              <w:jc w:val="center"/>
              <w:rPr>
                <w:rFonts w:ascii="Arial" w:hAnsi="Arial" w:cs="Arial"/>
                <w:sz w:val="20"/>
                <w:szCs w:val="20"/>
              </w:rPr>
            </w:pPr>
          </w:p>
        </w:tc>
        <w:tc>
          <w:tcPr>
            <w:tcW w:w="0" w:type="auto"/>
            <w:vAlign w:val="bottom"/>
          </w:tcPr>
          <w:p w:rsidR="00C865F2" w:rsidRPr="00DE651B" w:rsidRDefault="00C865F2" w:rsidP="007D13DB">
            <w:pPr>
              <w:jc w:val="center"/>
              <w:rPr>
                <w:rFonts w:ascii="Arial" w:hAnsi="Arial" w:cs="Arial"/>
                <w:sz w:val="20"/>
                <w:szCs w:val="20"/>
              </w:rPr>
            </w:pPr>
          </w:p>
        </w:tc>
        <w:tc>
          <w:tcPr>
            <w:tcW w:w="0" w:type="auto"/>
            <w:vAlign w:val="bottom"/>
          </w:tcPr>
          <w:p w:rsidR="00C865F2" w:rsidRPr="00DE651B" w:rsidRDefault="00C865F2" w:rsidP="007D13DB">
            <w:pPr>
              <w:jc w:val="center"/>
              <w:rPr>
                <w:rFonts w:ascii="Arial" w:hAnsi="Arial" w:cs="Arial"/>
                <w:sz w:val="20"/>
                <w:szCs w:val="20"/>
              </w:rPr>
            </w:pPr>
          </w:p>
        </w:tc>
      </w:tr>
      <w:tr w:rsidR="00C865F2" w:rsidRPr="00DB15BC" w:rsidTr="007D13DB">
        <w:tc>
          <w:tcPr>
            <w:tcW w:w="0" w:type="auto"/>
          </w:tcPr>
          <w:p w:rsidR="00C865F2" w:rsidRPr="00DE651B" w:rsidRDefault="00C865F2" w:rsidP="007D13DB">
            <w:pPr>
              <w:rPr>
                <w:rFonts w:ascii="Arial" w:hAnsi="Arial" w:cs="Arial"/>
                <w:sz w:val="20"/>
                <w:szCs w:val="20"/>
              </w:rPr>
            </w:pPr>
            <w:r w:rsidRPr="00DE651B">
              <w:rPr>
                <w:rFonts w:ascii="Arial" w:hAnsi="Arial" w:cs="Arial"/>
                <w:sz w:val="20"/>
                <w:szCs w:val="20"/>
              </w:rPr>
              <w:t>Average all FCIs</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vAlign w:val="bottom"/>
          </w:tcPr>
          <w:p w:rsidR="00C865F2" w:rsidRPr="00DE651B" w:rsidRDefault="00C865F2" w:rsidP="007D13DB">
            <w:pPr>
              <w:jc w:val="center"/>
              <w:rPr>
                <w:rFonts w:ascii="Arial" w:hAnsi="Arial" w:cs="Arial"/>
                <w:sz w:val="20"/>
                <w:szCs w:val="20"/>
              </w:rPr>
            </w:pPr>
            <w:r>
              <w:rPr>
                <w:rFonts w:ascii="Arial" w:hAnsi="Arial" w:cs="Arial"/>
                <w:sz w:val="20"/>
                <w:szCs w:val="20"/>
              </w:rPr>
              <w:t>1.26</w:t>
            </w:r>
          </w:p>
        </w:tc>
        <w:tc>
          <w:tcPr>
            <w:tcW w:w="0" w:type="auto"/>
            <w:vAlign w:val="bottom"/>
          </w:tcPr>
          <w:p w:rsidR="00C865F2" w:rsidRPr="00DE651B" w:rsidRDefault="00C865F2" w:rsidP="007D13DB">
            <w:pPr>
              <w:jc w:val="center"/>
              <w:rPr>
                <w:rFonts w:ascii="Arial" w:hAnsi="Arial" w:cs="Arial"/>
                <w:sz w:val="20"/>
                <w:szCs w:val="20"/>
              </w:rPr>
            </w:pPr>
            <w:r>
              <w:rPr>
                <w:rFonts w:ascii="Arial" w:hAnsi="Arial" w:cs="Arial"/>
                <w:sz w:val="20"/>
                <w:szCs w:val="20"/>
              </w:rPr>
              <w:t>1.04</w:t>
            </w:r>
          </w:p>
        </w:tc>
        <w:tc>
          <w:tcPr>
            <w:tcW w:w="0" w:type="auto"/>
            <w:vAlign w:val="bottom"/>
          </w:tcPr>
          <w:p w:rsidR="00C865F2" w:rsidRPr="00DE651B" w:rsidRDefault="00C865F2" w:rsidP="007D13DB">
            <w:pPr>
              <w:jc w:val="center"/>
              <w:rPr>
                <w:rFonts w:ascii="Arial" w:hAnsi="Arial" w:cs="Arial"/>
                <w:sz w:val="20"/>
                <w:szCs w:val="20"/>
              </w:rPr>
            </w:pPr>
            <w:r>
              <w:rPr>
                <w:rFonts w:ascii="Arial" w:hAnsi="Arial" w:cs="Arial"/>
                <w:sz w:val="20"/>
                <w:szCs w:val="20"/>
              </w:rPr>
              <w:t>0.90</w:t>
            </w:r>
          </w:p>
        </w:tc>
        <w:tc>
          <w:tcPr>
            <w:tcW w:w="0" w:type="auto"/>
            <w:vAlign w:val="bottom"/>
          </w:tcPr>
          <w:p w:rsidR="00C865F2" w:rsidRPr="00DE651B" w:rsidRDefault="00C865F2" w:rsidP="007D13DB">
            <w:pPr>
              <w:jc w:val="center"/>
              <w:rPr>
                <w:rFonts w:ascii="Arial" w:hAnsi="Arial" w:cs="Arial"/>
                <w:sz w:val="20"/>
                <w:szCs w:val="20"/>
              </w:rPr>
            </w:pPr>
            <w:r w:rsidRPr="00DE651B">
              <w:rPr>
                <w:rFonts w:ascii="Arial" w:hAnsi="Arial" w:cs="Arial"/>
                <w:sz w:val="20"/>
                <w:szCs w:val="20"/>
              </w:rPr>
              <w:t>0.</w:t>
            </w:r>
            <w:r>
              <w:rPr>
                <w:rFonts w:ascii="Arial" w:hAnsi="Arial" w:cs="Arial"/>
                <w:sz w:val="20"/>
                <w:szCs w:val="20"/>
              </w:rPr>
              <w:t>95</w:t>
            </w:r>
          </w:p>
        </w:tc>
      </w:tr>
      <w:tr w:rsidR="00C865F2" w:rsidRPr="00DB15BC" w:rsidTr="007D13DB">
        <w:tc>
          <w:tcPr>
            <w:tcW w:w="0" w:type="auto"/>
          </w:tcPr>
          <w:p w:rsidR="00C865F2" w:rsidRPr="00DE651B" w:rsidRDefault="00C865F2" w:rsidP="007D13DB">
            <w:pPr>
              <w:rPr>
                <w:rFonts w:ascii="Arial" w:hAnsi="Arial" w:cs="Arial"/>
                <w:sz w:val="20"/>
                <w:szCs w:val="20"/>
              </w:rPr>
            </w:pPr>
            <w:r w:rsidRPr="00DE651B">
              <w:rPr>
                <w:rFonts w:ascii="Arial" w:hAnsi="Arial" w:cs="Arial"/>
                <w:sz w:val="20"/>
                <w:szCs w:val="20"/>
              </w:rPr>
              <w:t xml:space="preserve">Average from </w:t>
            </w:r>
          </w:p>
          <w:p w:rsidR="00C865F2" w:rsidRPr="00DE651B" w:rsidRDefault="00C865F2" w:rsidP="007D13DB">
            <w:pPr>
              <w:rPr>
                <w:rFonts w:ascii="Arial" w:hAnsi="Arial" w:cs="Arial"/>
                <w:sz w:val="20"/>
                <w:szCs w:val="20"/>
              </w:rPr>
            </w:pPr>
            <w:r w:rsidRPr="00DE651B">
              <w:rPr>
                <w:rFonts w:ascii="Arial" w:hAnsi="Arial" w:cs="Arial"/>
                <w:sz w:val="20"/>
                <w:szCs w:val="20"/>
              </w:rPr>
              <w:t xml:space="preserve">Table </w:t>
            </w:r>
            <w:r>
              <w:rPr>
                <w:rFonts w:ascii="Arial" w:hAnsi="Arial" w:cs="Arial"/>
                <w:sz w:val="20"/>
                <w:szCs w:val="20"/>
              </w:rPr>
              <w:t>3.</w:t>
            </w:r>
            <w:r w:rsidRPr="00DE651B">
              <w:rPr>
                <w:rFonts w:ascii="Arial" w:hAnsi="Arial" w:cs="Arial"/>
                <w:sz w:val="20"/>
                <w:szCs w:val="20"/>
              </w:rPr>
              <w:t>2</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0.81</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0.92</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0.92</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1.65</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1.19</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1.11</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1.17</w:t>
            </w:r>
          </w:p>
        </w:tc>
        <w:tc>
          <w:tcPr>
            <w:tcW w:w="0" w:type="auto"/>
          </w:tcPr>
          <w:p w:rsidR="00C865F2" w:rsidRPr="004C7408" w:rsidRDefault="00C865F2" w:rsidP="007D13DB">
            <w:pPr>
              <w:jc w:val="center"/>
              <w:rPr>
                <w:rFonts w:ascii="Arial" w:hAnsi="Arial" w:cs="Arial"/>
                <w:sz w:val="20"/>
                <w:szCs w:val="20"/>
              </w:rPr>
            </w:pPr>
            <w:r>
              <w:rPr>
                <w:rFonts w:ascii="Arial" w:hAnsi="Arial" w:cs="Arial"/>
                <w:sz w:val="20"/>
                <w:szCs w:val="20"/>
              </w:rPr>
              <w:t>1.02</w:t>
            </w:r>
          </w:p>
        </w:tc>
      </w:tr>
    </w:tbl>
    <w:p w:rsidR="00C865F2" w:rsidRDefault="00C865F2" w:rsidP="00C865F2">
      <w:pPr>
        <w:jc w:val="center"/>
      </w:pPr>
    </w:p>
    <w:p w:rsidR="00C865F2" w:rsidRPr="0011541A" w:rsidRDefault="00C865F2" w:rsidP="00C865F2">
      <w:pPr>
        <w:jc w:val="center"/>
      </w:pPr>
      <w:r>
        <w:t xml:space="preserve">(b) </w:t>
      </w:r>
      <w:r>
        <w:rPr>
          <w:i/>
        </w:rPr>
        <w:t xml:space="preserve">h </w:t>
      </w:r>
      <w:r>
        <w:t>=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5"/>
        <w:gridCol w:w="906"/>
        <w:gridCol w:w="906"/>
        <w:gridCol w:w="962"/>
        <w:gridCol w:w="962"/>
        <w:gridCol w:w="962"/>
        <w:gridCol w:w="962"/>
        <w:gridCol w:w="962"/>
        <w:gridCol w:w="895"/>
      </w:tblGrid>
      <w:tr w:rsidR="00C865F2" w:rsidRPr="00B50F02" w:rsidTr="007D13DB">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FCI</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1970.I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1974.IV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1975.I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1979.IV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1980.I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1984. 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1985.I -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1989. 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1990.I -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1994. 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1995.I -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1999. 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 xml:space="preserve">2000.I -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2004. IV  </w:t>
            </w:r>
          </w:p>
        </w:tc>
        <w:tc>
          <w:tcPr>
            <w:tcW w:w="0" w:type="auto"/>
          </w:tcPr>
          <w:p w:rsidR="00C865F2" w:rsidRPr="00322978" w:rsidRDefault="00C865F2" w:rsidP="007D13DB">
            <w:pPr>
              <w:rPr>
                <w:rFonts w:ascii="Arial" w:hAnsi="Arial" w:cs="Arial"/>
                <w:b/>
                <w:sz w:val="20"/>
                <w:szCs w:val="20"/>
              </w:rPr>
            </w:pPr>
            <w:r w:rsidRPr="00322978">
              <w:rPr>
                <w:rFonts w:ascii="Arial" w:hAnsi="Arial" w:cs="Arial"/>
                <w:b/>
                <w:sz w:val="20"/>
                <w:szCs w:val="20"/>
              </w:rPr>
              <w:t>2005.I -</w:t>
            </w:r>
          </w:p>
          <w:p w:rsidR="00C865F2" w:rsidRPr="00322978" w:rsidRDefault="00C865F2" w:rsidP="007D13DB">
            <w:pPr>
              <w:rPr>
                <w:rFonts w:ascii="Arial" w:hAnsi="Arial" w:cs="Arial"/>
                <w:b/>
                <w:sz w:val="20"/>
                <w:szCs w:val="20"/>
              </w:rPr>
            </w:pPr>
            <w:r w:rsidRPr="00322978">
              <w:rPr>
                <w:rFonts w:ascii="Arial" w:hAnsi="Arial" w:cs="Arial"/>
                <w:b/>
                <w:sz w:val="20"/>
                <w:szCs w:val="20"/>
              </w:rPr>
              <w:t xml:space="preserve">EOS </w:t>
            </w:r>
          </w:p>
        </w:tc>
      </w:tr>
      <w:tr w:rsidR="00C865F2" w:rsidRPr="002250F7"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BLOOMBERG</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1.41</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0.80</w:t>
            </w:r>
          </w:p>
        </w:tc>
      </w:tr>
      <w:tr w:rsidR="00C865F2" w:rsidRPr="00B50F02"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CITI</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1.02</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0.75</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0.83</w:t>
            </w:r>
          </w:p>
        </w:tc>
      </w:tr>
      <w:tr w:rsidR="00C865F2" w:rsidRPr="00B50F02"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DB (PC)</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1.15</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0.78</w:t>
            </w:r>
          </w:p>
        </w:tc>
      </w:tr>
      <w:tr w:rsidR="00C865F2" w:rsidRPr="00B50F02" w:rsidTr="007D13DB">
        <w:trPr>
          <w:trHeight w:hRule="exac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DB (FCI)</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1.18</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0.78</w:t>
            </w:r>
          </w:p>
        </w:tc>
      </w:tr>
      <w:tr w:rsidR="00C865F2" w:rsidRPr="00B50F02" w:rsidTr="007D13DB">
        <w:trPr>
          <w:trHeight w:hRule="exact" w:val="325"/>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 xml:space="preserve">GS </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1.28</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1.03</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0.81</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0.91</w:t>
            </w:r>
          </w:p>
        </w:tc>
      </w:tr>
      <w:tr w:rsidR="00C865F2" w:rsidRPr="00B50F02" w:rsidTr="007D13DB">
        <w:trPr>
          <w:trHeight w:hRule="exact" w:val="325"/>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KCFSI</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0.81</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0.84</w:t>
            </w:r>
          </w:p>
        </w:tc>
      </w:tr>
      <w:tr w:rsidR="00C865F2" w:rsidRPr="00B50F02" w:rsidTr="007D13DB">
        <w:trPr>
          <w:trHeight w:val="288"/>
        </w:trPr>
        <w:tc>
          <w:tcPr>
            <w:tcW w:w="0" w:type="auto"/>
          </w:tcPr>
          <w:p w:rsidR="00C865F2" w:rsidRPr="00DE651B" w:rsidRDefault="00C865F2" w:rsidP="007D13DB">
            <w:pPr>
              <w:rPr>
                <w:rFonts w:ascii="Arial" w:hAnsi="Arial" w:cs="Arial"/>
                <w:i/>
                <w:sz w:val="20"/>
                <w:szCs w:val="20"/>
              </w:rPr>
            </w:pPr>
            <w:r w:rsidRPr="00DE651B">
              <w:rPr>
                <w:rFonts w:ascii="Arial" w:hAnsi="Arial" w:cs="Arial"/>
                <w:i/>
                <w:sz w:val="20"/>
                <w:szCs w:val="20"/>
              </w:rPr>
              <w:t>MA</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1.29</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0.92</w:t>
            </w:r>
          </w:p>
        </w:tc>
        <w:tc>
          <w:tcPr>
            <w:tcW w:w="0" w:type="auto"/>
          </w:tcPr>
          <w:p w:rsidR="00C865F2" w:rsidRPr="00904E90" w:rsidRDefault="00C865F2" w:rsidP="007D13DB">
            <w:pPr>
              <w:jc w:val="center"/>
              <w:rPr>
                <w:rFonts w:ascii="Arial" w:hAnsi="Arial" w:cs="Arial"/>
                <w:sz w:val="20"/>
                <w:szCs w:val="20"/>
              </w:rPr>
            </w:pPr>
            <w:r w:rsidRPr="00904E90">
              <w:rPr>
                <w:rFonts w:ascii="Arial" w:hAnsi="Arial" w:cs="Arial"/>
                <w:sz w:val="20"/>
                <w:szCs w:val="20"/>
              </w:rPr>
              <w:t>0.83</w:t>
            </w:r>
          </w:p>
        </w:tc>
      </w:tr>
      <w:tr w:rsidR="00C865F2" w:rsidRPr="00B50F02" w:rsidTr="007D13DB">
        <w:tc>
          <w:tcPr>
            <w:tcW w:w="0" w:type="auto"/>
          </w:tcPr>
          <w:p w:rsidR="00C865F2" w:rsidRPr="00B50F02" w:rsidRDefault="00C865F2" w:rsidP="007D13DB">
            <w:pPr>
              <w:rPr>
                <w:rFonts w:ascii="Arial" w:hAnsi="Arial" w:cs="Arial"/>
                <w:sz w:val="20"/>
                <w:szCs w:val="20"/>
              </w:rPr>
            </w:pPr>
            <w:r w:rsidRPr="00DE651B">
              <w:rPr>
                <w:rFonts w:ascii="Arial" w:hAnsi="Arial" w:cs="Arial"/>
                <w:i/>
                <w:sz w:val="20"/>
                <w:szCs w:val="20"/>
              </w:rPr>
              <w:t>OECD</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r w:rsidRPr="00904E90">
              <w:rPr>
                <w:rFonts w:ascii="Arial" w:hAnsi="Arial" w:cs="Arial"/>
                <w:sz w:val="20"/>
                <w:szCs w:val="20"/>
              </w:rPr>
              <w:t>0.90</w:t>
            </w:r>
          </w:p>
        </w:tc>
      </w:tr>
      <w:tr w:rsidR="00C865F2" w:rsidRPr="00B50F02" w:rsidTr="007D13DB">
        <w:trPr>
          <w:trHeight w:val="233"/>
        </w:trPr>
        <w:tc>
          <w:tcPr>
            <w:tcW w:w="0" w:type="auto"/>
          </w:tcPr>
          <w:p w:rsidR="00C865F2" w:rsidRPr="00B50F02" w:rsidRDefault="00C865F2" w:rsidP="007D13DB">
            <w:pP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vAlign w:val="bottom"/>
          </w:tcPr>
          <w:p w:rsidR="00C865F2" w:rsidRDefault="00C865F2" w:rsidP="007D13DB">
            <w:pPr>
              <w:jc w:val="center"/>
              <w:rPr>
                <w:rFonts w:ascii="Arial" w:hAnsi="Arial" w:cs="Arial"/>
                <w:sz w:val="20"/>
                <w:szCs w:val="20"/>
              </w:rPr>
            </w:pPr>
          </w:p>
        </w:tc>
        <w:tc>
          <w:tcPr>
            <w:tcW w:w="0" w:type="auto"/>
            <w:vAlign w:val="bottom"/>
          </w:tcPr>
          <w:p w:rsidR="00C865F2" w:rsidRDefault="00C865F2" w:rsidP="007D13DB">
            <w:pPr>
              <w:jc w:val="center"/>
              <w:rPr>
                <w:rFonts w:ascii="Arial" w:hAnsi="Arial" w:cs="Arial"/>
                <w:sz w:val="20"/>
                <w:szCs w:val="20"/>
              </w:rPr>
            </w:pPr>
          </w:p>
        </w:tc>
        <w:tc>
          <w:tcPr>
            <w:tcW w:w="0" w:type="auto"/>
            <w:vAlign w:val="bottom"/>
          </w:tcPr>
          <w:p w:rsidR="00C865F2" w:rsidRDefault="00C865F2" w:rsidP="007D13DB">
            <w:pPr>
              <w:jc w:val="center"/>
              <w:rPr>
                <w:rFonts w:ascii="Arial" w:hAnsi="Arial" w:cs="Arial"/>
                <w:sz w:val="20"/>
                <w:szCs w:val="20"/>
              </w:rPr>
            </w:pPr>
          </w:p>
        </w:tc>
        <w:tc>
          <w:tcPr>
            <w:tcW w:w="0" w:type="auto"/>
            <w:vAlign w:val="bottom"/>
          </w:tcPr>
          <w:p w:rsidR="00C865F2" w:rsidRDefault="00C865F2" w:rsidP="007D13DB">
            <w:pPr>
              <w:jc w:val="center"/>
              <w:rPr>
                <w:rFonts w:ascii="Arial" w:hAnsi="Arial" w:cs="Arial"/>
                <w:sz w:val="20"/>
                <w:szCs w:val="20"/>
              </w:rPr>
            </w:pPr>
          </w:p>
        </w:tc>
      </w:tr>
      <w:tr w:rsidR="00C865F2" w:rsidRPr="00B50F02" w:rsidTr="007D13DB">
        <w:trPr>
          <w:trHeight w:val="233"/>
        </w:trPr>
        <w:tc>
          <w:tcPr>
            <w:tcW w:w="0" w:type="auto"/>
          </w:tcPr>
          <w:p w:rsidR="00C865F2" w:rsidRPr="00B50F02" w:rsidRDefault="00C865F2" w:rsidP="007D13DB">
            <w:pPr>
              <w:rPr>
                <w:rFonts w:ascii="Arial" w:hAnsi="Arial" w:cs="Arial"/>
                <w:sz w:val="20"/>
                <w:szCs w:val="20"/>
              </w:rPr>
            </w:pPr>
            <w:r w:rsidRPr="00B50F02">
              <w:rPr>
                <w:rFonts w:ascii="Arial" w:hAnsi="Arial" w:cs="Arial"/>
                <w:sz w:val="20"/>
                <w:szCs w:val="20"/>
              </w:rPr>
              <w:t>Average</w:t>
            </w:r>
            <w:r>
              <w:rPr>
                <w:rFonts w:ascii="Arial" w:hAnsi="Arial" w:cs="Arial"/>
                <w:sz w:val="20"/>
                <w:szCs w:val="20"/>
              </w:rPr>
              <w:t xml:space="preserve"> all FCIs</w:t>
            </w: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tcPr>
          <w:p w:rsidR="00C865F2" w:rsidRPr="00DE651B" w:rsidRDefault="00C865F2" w:rsidP="007D13DB">
            <w:pPr>
              <w:jc w:val="center"/>
              <w:rPr>
                <w:rFonts w:ascii="Arial" w:hAnsi="Arial" w:cs="Arial"/>
                <w:sz w:val="20"/>
                <w:szCs w:val="20"/>
              </w:rPr>
            </w:pPr>
          </w:p>
        </w:tc>
        <w:tc>
          <w:tcPr>
            <w:tcW w:w="0" w:type="auto"/>
            <w:vAlign w:val="bottom"/>
          </w:tcPr>
          <w:p w:rsidR="00C865F2" w:rsidRPr="00DE651B" w:rsidRDefault="00C865F2" w:rsidP="007D13DB">
            <w:pPr>
              <w:jc w:val="center"/>
              <w:rPr>
                <w:rFonts w:ascii="Arial" w:hAnsi="Arial" w:cs="Arial"/>
                <w:sz w:val="20"/>
                <w:szCs w:val="20"/>
              </w:rPr>
            </w:pPr>
            <w:r>
              <w:rPr>
                <w:rFonts w:ascii="Arial" w:hAnsi="Arial" w:cs="Arial"/>
                <w:sz w:val="20"/>
                <w:szCs w:val="20"/>
              </w:rPr>
              <w:t>1.28</w:t>
            </w:r>
          </w:p>
        </w:tc>
        <w:tc>
          <w:tcPr>
            <w:tcW w:w="0" w:type="auto"/>
            <w:vAlign w:val="bottom"/>
          </w:tcPr>
          <w:p w:rsidR="00C865F2" w:rsidRPr="00DE651B" w:rsidRDefault="00C865F2" w:rsidP="007D13DB">
            <w:pPr>
              <w:jc w:val="center"/>
              <w:rPr>
                <w:rFonts w:ascii="Arial" w:hAnsi="Arial" w:cs="Arial"/>
                <w:sz w:val="20"/>
                <w:szCs w:val="20"/>
              </w:rPr>
            </w:pPr>
            <w:r>
              <w:rPr>
                <w:rFonts w:ascii="Arial" w:hAnsi="Arial" w:cs="Arial"/>
                <w:sz w:val="20"/>
                <w:szCs w:val="20"/>
              </w:rPr>
              <w:t>1.12</w:t>
            </w:r>
          </w:p>
        </w:tc>
        <w:tc>
          <w:tcPr>
            <w:tcW w:w="0" w:type="auto"/>
            <w:vAlign w:val="bottom"/>
          </w:tcPr>
          <w:p w:rsidR="00C865F2" w:rsidRPr="00DE651B" w:rsidRDefault="00C865F2" w:rsidP="007D13DB">
            <w:pPr>
              <w:jc w:val="center"/>
              <w:rPr>
                <w:rFonts w:ascii="Arial" w:hAnsi="Arial" w:cs="Arial"/>
                <w:sz w:val="20"/>
                <w:szCs w:val="20"/>
              </w:rPr>
            </w:pPr>
            <w:r>
              <w:rPr>
                <w:rFonts w:ascii="Arial" w:hAnsi="Arial" w:cs="Arial"/>
                <w:sz w:val="20"/>
                <w:szCs w:val="20"/>
              </w:rPr>
              <w:t>1.00</w:t>
            </w:r>
          </w:p>
        </w:tc>
        <w:tc>
          <w:tcPr>
            <w:tcW w:w="0" w:type="auto"/>
            <w:vAlign w:val="bottom"/>
          </w:tcPr>
          <w:p w:rsidR="00C865F2" w:rsidRPr="00DE651B" w:rsidRDefault="00C865F2" w:rsidP="007D13DB">
            <w:pPr>
              <w:jc w:val="center"/>
              <w:rPr>
                <w:rFonts w:ascii="Arial" w:hAnsi="Arial" w:cs="Arial"/>
                <w:sz w:val="20"/>
                <w:szCs w:val="20"/>
              </w:rPr>
            </w:pPr>
            <w:r>
              <w:rPr>
                <w:rFonts w:ascii="Arial" w:hAnsi="Arial" w:cs="Arial"/>
                <w:sz w:val="20"/>
                <w:szCs w:val="20"/>
              </w:rPr>
              <w:t>0.83</w:t>
            </w:r>
          </w:p>
        </w:tc>
      </w:tr>
      <w:tr w:rsidR="00C865F2" w:rsidRPr="00B50F02" w:rsidTr="007D13DB">
        <w:tc>
          <w:tcPr>
            <w:tcW w:w="0" w:type="auto"/>
          </w:tcPr>
          <w:p w:rsidR="00C865F2" w:rsidRPr="00B50F02" w:rsidRDefault="00C865F2" w:rsidP="007D13DB">
            <w:pPr>
              <w:rPr>
                <w:rFonts w:ascii="Arial" w:hAnsi="Arial" w:cs="Arial"/>
                <w:sz w:val="20"/>
                <w:szCs w:val="20"/>
              </w:rPr>
            </w:pPr>
            <w:r w:rsidRPr="00B50F02">
              <w:rPr>
                <w:rFonts w:ascii="Arial" w:hAnsi="Arial" w:cs="Arial"/>
                <w:sz w:val="20"/>
                <w:szCs w:val="20"/>
              </w:rPr>
              <w:t xml:space="preserve">Average from </w:t>
            </w:r>
          </w:p>
          <w:p w:rsidR="00C865F2" w:rsidRPr="00B50F02" w:rsidRDefault="00C865F2" w:rsidP="007D13DB">
            <w:pPr>
              <w:rPr>
                <w:rFonts w:ascii="Arial" w:hAnsi="Arial" w:cs="Arial"/>
                <w:sz w:val="20"/>
                <w:szCs w:val="20"/>
              </w:rPr>
            </w:pPr>
            <w:r>
              <w:rPr>
                <w:rFonts w:ascii="Arial" w:hAnsi="Arial" w:cs="Arial"/>
                <w:sz w:val="20"/>
                <w:szCs w:val="20"/>
              </w:rPr>
              <w:t>Table 3.2</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0.71</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0.95</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0.86</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1.63</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1.24</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1.12</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1.18</w:t>
            </w:r>
          </w:p>
        </w:tc>
        <w:tc>
          <w:tcPr>
            <w:tcW w:w="0" w:type="auto"/>
            <w:vAlign w:val="bottom"/>
          </w:tcPr>
          <w:p w:rsidR="00C865F2" w:rsidRPr="00B50F02" w:rsidRDefault="00C865F2" w:rsidP="007D13DB">
            <w:pPr>
              <w:jc w:val="center"/>
              <w:rPr>
                <w:rFonts w:ascii="Arial" w:hAnsi="Arial" w:cs="Arial"/>
                <w:color w:val="000000"/>
                <w:sz w:val="20"/>
                <w:szCs w:val="20"/>
              </w:rPr>
            </w:pPr>
            <w:r>
              <w:rPr>
                <w:rFonts w:ascii="Arial" w:hAnsi="Arial" w:cs="Arial"/>
                <w:color w:val="000000"/>
                <w:sz w:val="20"/>
                <w:szCs w:val="20"/>
              </w:rPr>
              <w:t>1.02</w:t>
            </w:r>
          </w:p>
        </w:tc>
      </w:tr>
    </w:tbl>
    <w:p w:rsidR="00C865F2" w:rsidRPr="002B1C4D" w:rsidRDefault="00C865F2" w:rsidP="00C865F2">
      <w:pPr>
        <w:pStyle w:val="ColorfulList-Accent12"/>
        <w:spacing w:line="240" w:lineRule="auto"/>
        <w:rPr>
          <w:szCs w:val="24"/>
        </w:rPr>
      </w:pPr>
    </w:p>
    <w:p w:rsidR="00C865F2" w:rsidRDefault="00C865F2" w:rsidP="00C865F2">
      <w:pPr>
        <w:pStyle w:val="ColorfulList-Accent12"/>
        <w:spacing w:line="240" w:lineRule="auto"/>
        <w:ind w:left="0"/>
      </w:pPr>
    </w:p>
    <w:p w:rsidR="00D6507F" w:rsidRDefault="00C865F2" w:rsidP="00C865F2">
      <w:pPr>
        <w:pStyle w:val="ColorfulList-Accent12"/>
        <w:tabs>
          <w:tab w:val="left" w:pos="90"/>
        </w:tabs>
        <w:spacing w:line="240" w:lineRule="auto"/>
        <w:ind w:left="0"/>
        <w:sectPr w:rsidR="00D6507F">
          <w:pgSz w:w="12240" w:h="15840"/>
          <w:pgMar w:top="1440" w:right="1440" w:bottom="1440" w:left="1440" w:header="720" w:footer="720" w:gutter="0"/>
          <w:cols w:space="720"/>
          <w:docGrid w:linePitch="360"/>
        </w:sectPr>
      </w:pPr>
      <w:r>
        <w:t>Notes: GS refers to the Goldman Sachs FCI in first difference. DB (PC) and DB (FCI) refer to the Deustche Bank principal component and FCI.  See Table 3.2 for additional notes.</w:t>
      </w:r>
    </w:p>
    <w:p w:rsidR="00C865F2" w:rsidRDefault="00C865F2" w:rsidP="00C865F2">
      <w:pPr>
        <w:pStyle w:val="ColorfulList-Accent12"/>
        <w:tabs>
          <w:tab w:val="left" w:pos="90"/>
        </w:tabs>
        <w:spacing w:line="240" w:lineRule="auto"/>
        <w:ind w:left="-630" w:right="-900"/>
        <w:jc w:val="center"/>
        <w:rPr>
          <w:b/>
          <w:color w:val="000000"/>
        </w:rPr>
      </w:pPr>
      <w:r w:rsidRPr="006065FD">
        <w:rPr>
          <w:b/>
          <w:color w:val="000000"/>
        </w:rPr>
        <w:t>Table 4.1:  Financial Indicators</w:t>
      </w:r>
    </w:p>
    <w:p w:rsidR="00D6507F" w:rsidRPr="006065FD" w:rsidRDefault="00D6507F" w:rsidP="00C865F2">
      <w:pPr>
        <w:pStyle w:val="ColorfulList-Accent12"/>
        <w:tabs>
          <w:tab w:val="left" w:pos="90"/>
        </w:tabs>
        <w:spacing w:line="240" w:lineRule="auto"/>
        <w:ind w:left="-630" w:right="-900"/>
        <w:jc w:val="center"/>
        <w:rPr>
          <w:b/>
          <w:color w:val="000000"/>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8"/>
        <w:gridCol w:w="4007"/>
        <w:gridCol w:w="557"/>
        <w:gridCol w:w="397"/>
        <w:gridCol w:w="2199"/>
        <w:gridCol w:w="874"/>
        <w:gridCol w:w="874"/>
        <w:gridCol w:w="654"/>
        <w:gridCol w:w="654"/>
        <w:gridCol w:w="654"/>
        <w:gridCol w:w="668"/>
        <w:gridCol w:w="678"/>
        <w:gridCol w:w="543"/>
      </w:tblGrid>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p>
        </w:tc>
        <w:tc>
          <w:tcPr>
            <w:tcW w:w="1512"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color w:val="000000"/>
                <w:sz w:val="16"/>
                <w:szCs w:val="16"/>
              </w:rPr>
              <w:t>Description</w:t>
            </w:r>
          </w:p>
        </w:tc>
        <w:tc>
          <w:tcPr>
            <w:tcW w:w="210"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color w:val="000000"/>
                <w:sz w:val="16"/>
                <w:szCs w:val="16"/>
              </w:rPr>
              <w:t>NU</w:t>
            </w:r>
          </w:p>
        </w:tc>
        <w:tc>
          <w:tcPr>
            <w:tcW w:w="150"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color w:val="000000"/>
                <w:sz w:val="16"/>
                <w:szCs w:val="16"/>
              </w:rPr>
              <w:t>T</w:t>
            </w:r>
          </w:p>
        </w:tc>
        <w:tc>
          <w:tcPr>
            <w:tcW w:w="830"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color w:val="000000"/>
                <w:sz w:val="16"/>
                <w:szCs w:val="16"/>
              </w:rPr>
              <w:t>Source</w:t>
            </w:r>
          </w:p>
        </w:tc>
        <w:tc>
          <w:tcPr>
            <w:tcW w:w="330"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color w:val="000000"/>
                <w:sz w:val="16"/>
                <w:szCs w:val="16"/>
              </w:rPr>
              <w:t>Start</w:t>
            </w:r>
          </w:p>
        </w:tc>
        <w:tc>
          <w:tcPr>
            <w:tcW w:w="330"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color w:val="000000"/>
                <w:sz w:val="16"/>
                <w:szCs w:val="16"/>
              </w:rPr>
              <w:t>End</w:t>
            </w:r>
          </w:p>
        </w:tc>
        <w:tc>
          <w:tcPr>
            <w:tcW w:w="1248" w:type="pct"/>
            <w:gridSpan w:val="5"/>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i/>
                <w:color w:val="000000"/>
                <w:sz w:val="16"/>
                <w:szCs w:val="16"/>
              </w:rPr>
              <w:t>R</w:t>
            </w:r>
            <w:r w:rsidRPr="00D6507F">
              <w:rPr>
                <w:rFonts w:ascii="Arial" w:eastAsia="Times New Roman" w:hAnsi="Arial" w:cs="Arial"/>
                <w:b/>
                <w:color w:val="000000"/>
                <w:sz w:val="16"/>
                <w:szCs w:val="16"/>
                <w:vertAlign w:val="superscript"/>
              </w:rPr>
              <w:t>2</w:t>
            </w:r>
            <w:r w:rsidRPr="00D6507F">
              <w:rPr>
                <w:rFonts w:ascii="Arial" w:eastAsia="Times New Roman" w:hAnsi="Arial" w:cs="Arial"/>
                <w:b/>
                <w:i/>
                <w:color w:val="000000"/>
                <w:sz w:val="16"/>
                <w:szCs w:val="16"/>
              </w:rPr>
              <w:t xml:space="preserve"> </w:t>
            </w:r>
            <w:r w:rsidRPr="00D6507F">
              <w:rPr>
                <w:rFonts w:ascii="Arial" w:eastAsia="Times New Roman" w:hAnsi="Arial" w:cs="Arial"/>
                <w:b/>
                <w:color w:val="000000"/>
                <w:sz w:val="16"/>
                <w:szCs w:val="16"/>
              </w:rPr>
              <w:t>– Number of Factors</w:t>
            </w:r>
          </w:p>
        </w:tc>
        <w:tc>
          <w:tcPr>
            <w:tcW w:w="206"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color w:val="000000"/>
                <w:sz w:val="16"/>
                <w:szCs w:val="16"/>
              </w:rPr>
              <w:sym w:font="Symbol" w:char="F04C"/>
            </w:r>
            <w:r w:rsidRPr="00D6507F">
              <w:rPr>
                <w:rFonts w:ascii="Arial" w:eastAsia="Times New Roman" w:hAnsi="Arial" w:cs="Arial"/>
                <w:b/>
                <w:color w:val="000000"/>
                <w:sz w:val="16"/>
                <w:szCs w:val="16"/>
                <w:vertAlign w:val="subscript"/>
              </w:rPr>
              <w:t>1</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p>
        </w:tc>
        <w:tc>
          <w:tcPr>
            <w:tcW w:w="1512" w:type="pct"/>
          </w:tcPr>
          <w:p w:rsidR="00C865F2" w:rsidRPr="00D6507F" w:rsidRDefault="00C865F2" w:rsidP="00D6507F">
            <w:pPr>
              <w:jc w:val="center"/>
              <w:rPr>
                <w:rFonts w:ascii="Arial" w:eastAsia="Times New Roman" w:hAnsi="Arial" w:cs="Arial"/>
                <w:b/>
                <w:i/>
                <w:color w:val="000000"/>
                <w:sz w:val="16"/>
                <w:szCs w:val="16"/>
              </w:rPr>
            </w:pPr>
            <w:r w:rsidRPr="00D6507F">
              <w:rPr>
                <w:rFonts w:ascii="Arial" w:eastAsia="Times New Roman" w:hAnsi="Arial" w:cs="Arial"/>
                <w:b/>
                <w:i/>
                <w:color w:val="000000"/>
                <w:sz w:val="16"/>
                <w:szCs w:val="16"/>
              </w:rPr>
              <w:t>Interest Rates</w:t>
            </w:r>
          </w:p>
        </w:tc>
        <w:tc>
          <w:tcPr>
            <w:tcW w:w="210" w:type="pct"/>
          </w:tcPr>
          <w:p w:rsidR="00C865F2" w:rsidRPr="00D6507F" w:rsidRDefault="00C865F2" w:rsidP="00D6507F">
            <w:pPr>
              <w:rPr>
                <w:rFonts w:ascii="Arial" w:eastAsia="Times New Roman" w:hAnsi="Arial" w:cs="Arial"/>
                <w:b/>
                <w:color w:val="000000"/>
                <w:sz w:val="16"/>
                <w:szCs w:val="16"/>
              </w:rPr>
            </w:pPr>
          </w:p>
        </w:tc>
        <w:tc>
          <w:tcPr>
            <w:tcW w:w="150" w:type="pct"/>
          </w:tcPr>
          <w:p w:rsidR="00C865F2" w:rsidRPr="00D6507F" w:rsidRDefault="00C865F2" w:rsidP="00D6507F">
            <w:pPr>
              <w:rPr>
                <w:rFonts w:ascii="Arial" w:eastAsia="Times New Roman" w:hAnsi="Arial" w:cs="Arial"/>
                <w:b/>
                <w:color w:val="000000"/>
                <w:sz w:val="16"/>
                <w:szCs w:val="16"/>
              </w:rPr>
            </w:pPr>
          </w:p>
        </w:tc>
        <w:tc>
          <w:tcPr>
            <w:tcW w:w="830" w:type="pct"/>
          </w:tcPr>
          <w:p w:rsidR="00C865F2" w:rsidRPr="00D6507F" w:rsidRDefault="00C865F2" w:rsidP="00D6507F">
            <w:pPr>
              <w:jc w:val="center"/>
              <w:rPr>
                <w:rFonts w:ascii="Arial" w:eastAsia="Times New Roman" w:hAnsi="Arial" w:cs="Arial"/>
                <w:b/>
                <w:color w:val="000000"/>
                <w:sz w:val="16"/>
                <w:szCs w:val="16"/>
              </w:rPr>
            </w:pPr>
          </w:p>
        </w:tc>
        <w:tc>
          <w:tcPr>
            <w:tcW w:w="330" w:type="pct"/>
          </w:tcPr>
          <w:p w:rsidR="00C865F2" w:rsidRPr="00D6507F" w:rsidRDefault="00C865F2" w:rsidP="00D6507F">
            <w:pPr>
              <w:jc w:val="center"/>
              <w:rPr>
                <w:rFonts w:ascii="Arial" w:eastAsia="Times New Roman" w:hAnsi="Arial" w:cs="Arial"/>
                <w:b/>
                <w:color w:val="000000"/>
                <w:sz w:val="16"/>
                <w:szCs w:val="16"/>
              </w:rPr>
            </w:pPr>
          </w:p>
        </w:tc>
        <w:tc>
          <w:tcPr>
            <w:tcW w:w="330" w:type="pct"/>
          </w:tcPr>
          <w:p w:rsidR="00C865F2" w:rsidRPr="00D6507F" w:rsidRDefault="00C865F2" w:rsidP="00D6507F">
            <w:pPr>
              <w:jc w:val="center"/>
              <w:rPr>
                <w:rFonts w:ascii="Arial" w:eastAsia="Times New Roman" w:hAnsi="Arial" w:cs="Arial"/>
                <w:b/>
                <w:color w:val="000000"/>
                <w:sz w:val="16"/>
                <w:szCs w:val="16"/>
              </w:rPr>
            </w:pPr>
          </w:p>
        </w:tc>
        <w:tc>
          <w:tcPr>
            <w:tcW w:w="247" w:type="pct"/>
          </w:tcPr>
          <w:p w:rsidR="00C865F2" w:rsidRPr="00D6507F" w:rsidRDefault="00C865F2" w:rsidP="00D6507F">
            <w:pPr>
              <w:jc w:val="center"/>
              <w:rPr>
                <w:rFonts w:ascii="Arial" w:eastAsia="Times New Roman" w:hAnsi="Arial" w:cs="Arial"/>
                <w:b/>
                <w:i/>
                <w:color w:val="000000"/>
                <w:sz w:val="16"/>
                <w:szCs w:val="16"/>
              </w:rPr>
            </w:pPr>
            <w:r w:rsidRPr="00D6507F">
              <w:rPr>
                <w:rFonts w:ascii="Arial" w:eastAsia="Times New Roman" w:hAnsi="Arial" w:cs="Arial"/>
                <w:b/>
                <w:i/>
                <w:color w:val="000000"/>
                <w:sz w:val="16"/>
                <w:szCs w:val="16"/>
              </w:rPr>
              <w:t>0</w:t>
            </w:r>
          </w:p>
        </w:tc>
        <w:tc>
          <w:tcPr>
            <w:tcW w:w="247"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color w:val="000000"/>
                <w:sz w:val="16"/>
                <w:szCs w:val="16"/>
              </w:rPr>
              <w:t>1</w:t>
            </w:r>
          </w:p>
        </w:tc>
        <w:tc>
          <w:tcPr>
            <w:tcW w:w="247"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color w:val="000000"/>
                <w:sz w:val="16"/>
                <w:szCs w:val="16"/>
              </w:rPr>
              <w:t>2</w:t>
            </w:r>
          </w:p>
        </w:tc>
        <w:tc>
          <w:tcPr>
            <w:tcW w:w="252"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color w:val="000000"/>
                <w:sz w:val="16"/>
                <w:szCs w:val="16"/>
              </w:rPr>
              <w:t>3</w:t>
            </w:r>
          </w:p>
        </w:tc>
        <w:tc>
          <w:tcPr>
            <w:tcW w:w="256"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color w:val="000000"/>
                <w:sz w:val="16"/>
                <w:szCs w:val="16"/>
              </w:rPr>
              <w:t>4</w:t>
            </w:r>
          </w:p>
        </w:tc>
        <w:tc>
          <w:tcPr>
            <w:tcW w:w="206" w:type="pct"/>
          </w:tcPr>
          <w:p w:rsidR="00C865F2" w:rsidRPr="00D6507F" w:rsidRDefault="00C865F2" w:rsidP="00D6507F">
            <w:pPr>
              <w:jc w:val="center"/>
              <w:rPr>
                <w:rFonts w:ascii="Arial" w:eastAsia="Times New Roman" w:hAnsi="Arial" w:cs="Arial"/>
                <w:b/>
                <w:color w:val="000000"/>
                <w:sz w:val="16"/>
                <w:szCs w:val="16"/>
              </w:rPr>
            </w:pP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10-Year Treasury Note Yield at Constant Maturity</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2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0.15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0.40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0.43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0.46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-0.36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FedFunds/3monthTBill Spread</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0.62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0.62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0.68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0.68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-0.43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2YrT-note/3monthTbill Spread</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1976:3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0.03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0.27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0.34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0.48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0.76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0.25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4</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10YrT-note/3monthTbill Spread</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0.21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0.39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0.57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0.75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0.77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0.38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5</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Baa/10yr T-note Spread</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0.39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0.82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0.82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0.83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-0.06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6</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High Yield / Baa Spread</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Merrill Lynch/Federal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1997:1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0.73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0.95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0.95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0.95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-0.17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7</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Auto finance company loan rate, new Car/Two-yr Treasury Spread</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1976:3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0.06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0.40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0.41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0.71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0.73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0.46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8</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30-yr Conventional mortgage/ 10yrTBond Spread</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1971:2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0.23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0.42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0.54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0.66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-0.23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9</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Jumbo/30yr Conventional Spread</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Deutsche Bank</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1998:3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0.60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0.94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0.96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0.96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-0.44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10</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TED Spread (Using Constant Maturity T-bill)</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1981:4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0.76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0.75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0.84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-0.61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11</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3-month LIBOR/OIS</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Bloomberg/Federal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2002:1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0.71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0.97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0.97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0.97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0.98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-0.35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12</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Bank rate on new Car Loans, 48-month/Two-year Treasury Spread</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Wall Street Journal/Federal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1976:3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0.37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0.59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0.81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0.80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0.87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0.37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13</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Bank rate on Personal Loans, 24-month/Two-year Treasury Spread</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1976:3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0.81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0.85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0.84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0.93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0.22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14</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Citigroup Bond Yields:Credit {Corp} Spread/Finance</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Citi</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1980:1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0.28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0.73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0.75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0.73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0.78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-0.65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15</w:t>
            </w:r>
          </w:p>
        </w:tc>
        <w:tc>
          <w:tcPr>
            <w:tcW w:w="1512" w:type="pct"/>
          </w:tcPr>
          <w:p w:rsidR="00C865F2" w:rsidRPr="00D6507F" w:rsidRDefault="00C865F2" w:rsidP="00D6507F">
            <w:pPr>
              <w:rPr>
                <w:rFonts w:ascii="Arial" w:eastAsia="Times New Roman" w:hAnsi="Arial" w:cs="Arial"/>
                <w:b/>
                <w:i/>
                <w:color w:val="000000"/>
                <w:sz w:val="16"/>
                <w:szCs w:val="16"/>
              </w:rPr>
            </w:pPr>
            <w:r w:rsidRPr="00D6507F">
              <w:rPr>
                <w:rFonts w:ascii="Arial" w:eastAsia="Times New Roman" w:hAnsi="Arial" w:cs="Arial"/>
                <w:color w:val="000000"/>
                <w:sz w:val="16"/>
                <w:szCs w:val="16"/>
              </w:rPr>
              <w:t>Banks CDS Spread</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Deutsche Bank</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2004:4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0.88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0.99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0.99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0.99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0.99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-0.10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p>
        </w:tc>
        <w:tc>
          <w:tcPr>
            <w:tcW w:w="1512"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i/>
                <w:color w:val="000000"/>
                <w:sz w:val="16"/>
                <w:szCs w:val="16"/>
              </w:rPr>
              <w:t>Prices</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p>
        </w:tc>
        <w:tc>
          <w:tcPr>
            <w:tcW w:w="830" w:type="pct"/>
          </w:tcPr>
          <w:p w:rsidR="00C865F2" w:rsidRPr="00D6507F" w:rsidRDefault="00C865F2" w:rsidP="00D6507F">
            <w:pPr>
              <w:rPr>
                <w:rFonts w:ascii="Arial" w:eastAsia="Times New Roman" w:hAnsi="Arial" w:cs="Arial"/>
                <w:color w:val="000000"/>
                <w:sz w:val="16"/>
                <w:szCs w:val="16"/>
              </w:rPr>
            </w:pPr>
          </w:p>
        </w:tc>
        <w:tc>
          <w:tcPr>
            <w:tcW w:w="330" w:type="pct"/>
          </w:tcPr>
          <w:p w:rsidR="00C865F2" w:rsidRPr="00D6507F" w:rsidRDefault="00C865F2" w:rsidP="00D6507F">
            <w:pPr>
              <w:jc w:val="center"/>
              <w:rPr>
                <w:rFonts w:ascii="Arial" w:eastAsia="Times New Roman" w:hAnsi="Arial" w:cs="Arial"/>
                <w:color w:val="000000"/>
                <w:sz w:val="16"/>
                <w:szCs w:val="16"/>
              </w:rPr>
            </w:pPr>
          </w:p>
        </w:tc>
        <w:tc>
          <w:tcPr>
            <w:tcW w:w="330" w:type="pct"/>
          </w:tcPr>
          <w:p w:rsidR="00C865F2" w:rsidRPr="00D6507F" w:rsidRDefault="00C865F2" w:rsidP="00D6507F">
            <w:pPr>
              <w:jc w:val="center"/>
              <w:rPr>
                <w:rFonts w:ascii="Arial" w:eastAsia="Times New Roman" w:hAnsi="Arial" w:cs="Arial"/>
                <w:color w:val="000000"/>
                <w:sz w:val="16"/>
                <w:szCs w:val="16"/>
              </w:rPr>
            </w:pPr>
          </w:p>
        </w:tc>
        <w:tc>
          <w:tcPr>
            <w:tcW w:w="247" w:type="pct"/>
          </w:tcPr>
          <w:p w:rsidR="00C865F2" w:rsidRPr="00D6507F" w:rsidRDefault="00C865F2" w:rsidP="00D6507F">
            <w:pPr>
              <w:jc w:val="center"/>
              <w:rPr>
                <w:rFonts w:ascii="Arial" w:eastAsia="Times New Roman" w:hAnsi="Arial" w:cs="Arial"/>
                <w:color w:val="000000"/>
                <w:sz w:val="16"/>
                <w:szCs w:val="16"/>
              </w:rPr>
            </w:pPr>
          </w:p>
        </w:tc>
        <w:tc>
          <w:tcPr>
            <w:tcW w:w="247" w:type="pct"/>
          </w:tcPr>
          <w:p w:rsidR="00C865F2" w:rsidRPr="00D6507F" w:rsidRDefault="00C865F2" w:rsidP="00D6507F">
            <w:pPr>
              <w:jc w:val="center"/>
              <w:rPr>
                <w:rFonts w:ascii="Arial" w:eastAsia="Times New Roman" w:hAnsi="Arial" w:cs="Arial"/>
                <w:color w:val="000000"/>
                <w:sz w:val="16"/>
                <w:szCs w:val="16"/>
              </w:rPr>
            </w:pPr>
          </w:p>
        </w:tc>
        <w:tc>
          <w:tcPr>
            <w:tcW w:w="247" w:type="pct"/>
          </w:tcPr>
          <w:p w:rsidR="00C865F2" w:rsidRPr="00D6507F" w:rsidRDefault="00C865F2" w:rsidP="00D6507F">
            <w:pPr>
              <w:jc w:val="center"/>
              <w:rPr>
                <w:rFonts w:ascii="Arial" w:eastAsia="Times New Roman" w:hAnsi="Arial" w:cs="Arial"/>
                <w:color w:val="000000"/>
                <w:sz w:val="16"/>
                <w:szCs w:val="16"/>
              </w:rPr>
            </w:pPr>
          </w:p>
        </w:tc>
        <w:tc>
          <w:tcPr>
            <w:tcW w:w="252" w:type="pct"/>
          </w:tcPr>
          <w:p w:rsidR="00C865F2" w:rsidRPr="00D6507F" w:rsidRDefault="00C865F2" w:rsidP="00D6507F">
            <w:pPr>
              <w:jc w:val="center"/>
              <w:rPr>
                <w:rFonts w:ascii="Arial" w:eastAsia="Times New Roman" w:hAnsi="Arial" w:cs="Arial"/>
                <w:color w:val="000000"/>
                <w:sz w:val="16"/>
                <w:szCs w:val="16"/>
              </w:rPr>
            </w:pPr>
          </w:p>
        </w:tc>
        <w:tc>
          <w:tcPr>
            <w:tcW w:w="256" w:type="pct"/>
          </w:tcPr>
          <w:p w:rsidR="00C865F2" w:rsidRPr="00D6507F" w:rsidRDefault="00C865F2" w:rsidP="00D6507F">
            <w:pPr>
              <w:jc w:val="center"/>
              <w:rPr>
                <w:rFonts w:ascii="Arial" w:eastAsia="Times New Roman" w:hAnsi="Arial" w:cs="Arial"/>
                <w:color w:val="000000"/>
                <w:sz w:val="16"/>
                <w:szCs w:val="16"/>
              </w:rPr>
            </w:pPr>
          </w:p>
        </w:tc>
        <w:tc>
          <w:tcPr>
            <w:tcW w:w="206" w:type="pct"/>
          </w:tcPr>
          <w:p w:rsidR="00C865F2" w:rsidRPr="00D6507F" w:rsidRDefault="00C865F2" w:rsidP="00D6507F">
            <w:pPr>
              <w:jc w:val="center"/>
              <w:rPr>
                <w:rFonts w:ascii="Arial" w:eastAsia="Times New Roman" w:hAnsi="Arial" w:cs="Arial"/>
                <w:color w:val="000000"/>
                <w:sz w:val="16"/>
                <w:szCs w:val="16"/>
              </w:rPr>
            </w:pP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16</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Real Broad Trade-Weighted Exchange Value of the US$ </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1973:2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0.02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0.19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0.20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0.21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0.29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-0.24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17</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Wilshire 5000</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Wilshire Associates</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1971:2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0.09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0.36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0.46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0.46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0.49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0.48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18</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Financial Market Cap (percent of S&amp;P 500)</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Standard and Poor’s</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1976:4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0.04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0.41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0.41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0.40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0.38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19</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Loan Performance National House Price Index (SA)</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FirstAmerican Core Logic</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1976:2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0.31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0.57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0.60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0.66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0.69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0.43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20</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Price of Oil Relative to 2Year MA (PPI Crude Oil)</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4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Wall Street Journal</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0.13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0.18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0.28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0.30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0.26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-0.18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p>
        </w:tc>
        <w:tc>
          <w:tcPr>
            <w:tcW w:w="1512" w:type="pct"/>
          </w:tcPr>
          <w:p w:rsidR="00C865F2" w:rsidRPr="00D6507F" w:rsidRDefault="00C865F2" w:rsidP="00D6507F">
            <w:pPr>
              <w:jc w:val="center"/>
              <w:rPr>
                <w:rFonts w:ascii="Arial" w:eastAsia="Times New Roman" w:hAnsi="Arial" w:cs="Arial"/>
                <w:b/>
                <w:color w:val="000000"/>
                <w:sz w:val="16"/>
                <w:szCs w:val="16"/>
              </w:rPr>
            </w:pPr>
            <w:r w:rsidRPr="00D6507F">
              <w:rPr>
                <w:rFonts w:ascii="Arial" w:eastAsia="Times New Roman" w:hAnsi="Arial" w:cs="Arial"/>
                <w:b/>
                <w:i/>
                <w:color w:val="000000"/>
                <w:sz w:val="16"/>
                <w:szCs w:val="16"/>
              </w:rPr>
              <w:t>Quantities</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p>
        </w:tc>
        <w:tc>
          <w:tcPr>
            <w:tcW w:w="830" w:type="pct"/>
          </w:tcPr>
          <w:p w:rsidR="00C865F2" w:rsidRPr="00D6507F" w:rsidRDefault="00C865F2" w:rsidP="00D6507F">
            <w:pPr>
              <w:rPr>
                <w:rFonts w:ascii="Arial" w:eastAsia="Times New Roman" w:hAnsi="Arial" w:cs="Arial"/>
                <w:color w:val="000000"/>
                <w:sz w:val="16"/>
                <w:szCs w:val="16"/>
              </w:rPr>
            </w:pPr>
          </w:p>
        </w:tc>
        <w:tc>
          <w:tcPr>
            <w:tcW w:w="330" w:type="pct"/>
          </w:tcPr>
          <w:p w:rsidR="00C865F2" w:rsidRPr="00D6507F" w:rsidRDefault="00C865F2" w:rsidP="00D6507F">
            <w:pPr>
              <w:jc w:val="center"/>
              <w:rPr>
                <w:rFonts w:ascii="Arial" w:eastAsia="Times New Roman" w:hAnsi="Arial" w:cs="Arial"/>
                <w:color w:val="000000"/>
                <w:sz w:val="16"/>
                <w:szCs w:val="16"/>
              </w:rPr>
            </w:pPr>
          </w:p>
        </w:tc>
        <w:tc>
          <w:tcPr>
            <w:tcW w:w="330" w:type="pct"/>
          </w:tcPr>
          <w:p w:rsidR="00C865F2" w:rsidRPr="00D6507F" w:rsidRDefault="00C865F2" w:rsidP="00D6507F">
            <w:pPr>
              <w:jc w:val="center"/>
              <w:rPr>
                <w:rFonts w:ascii="Arial" w:eastAsia="Times New Roman" w:hAnsi="Arial" w:cs="Arial"/>
                <w:color w:val="000000"/>
                <w:sz w:val="16"/>
                <w:szCs w:val="16"/>
              </w:rPr>
            </w:pPr>
          </w:p>
        </w:tc>
        <w:tc>
          <w:tcPr>
            <w:tcW w:w="247" w:type="pct"/>
          </w:tcPr>
          <w:p w:rsidR="00C865F2" w:rsidRPr="00D6507F" w:rsidRDefault="00C865F2" w:rsidP="00D6507F">
            <w:pPr>
              <w:jc w:val="center"/>
              <w:rPr>
                <w:rFonts w:ascii="Arial" w:eastAsia="Times New Roman" w:hAnsi="Arial" w:cs="Arial"/>
                <w:color w:val="000000"/>
                <w:sz w:val="16"/>
                <w:szCs w:val="16"/>
              </w:rPr>
            </w:pPr>
          </w:p>
        </w:tc>
        <w:tc>
          <w:tcPr>
            <w:tcW w:w="247" w:type="pct"/>
          </w:tcPr>
          <w:p w:rsidR="00C865F2" w:rsidRPr="00D6507F" w:rsidRDefault="00C865F2" w:rsidP="00D6507F">
            <w:pPr>
              <w:jc w:val="center"/>
              <w:rPr>
                <w:rFonts w:ascii="Arial" w:eastAsia="Times New Roman" w:hAnsi="Arial" w:cs="Arial"/>
                <w:color w:val="000000"/>
                <w:sz w:val="16"/>
                <w:szCs w:val="16"/>
              </w:rPr>
            </w:pPr>
          </w:p>
        </w:tc>
        <w:tc>
          <w:tcPr>
            <w:tcW w:w="247" w:type="pct"/>
          </w:tcPr>
          <w:p w:rsidR="00C865F2" w:rsidRPr="00D6507F" w:rsidRDefault="00C865F2" w:rsidP="00D6507F">
            <w:pPr>
              <w:jc w:val="center"/>
              <w:rPr>
                <w:rFonts w:ascii="Arial" w:eastAsia="Times New Roman" w:hAnsi="Arial" w:cs="Arial"/>
                <w:color w:val="000000"/>
                <w:sz w:val="16"/>
                <w:szCs w:val="16"/>
              </w:rPr>
            </w:pPr>
          </w:p>
        </w:tc>
        <w:tc>
          <w:tcPr>
            <w:tcW w:w="252" w:type="pct"/>
          </w:tcPr>
          <w:p w:rsidR="00C865F2" w:rsidRPr="00D6507F" w:rsidRDefault="00C865F2" w:rsidP="00D6507F">
            <w:pPr>
              <w:jc w:val="center"/>
              <w:rPr>
                <w:rFonts w:ascii="Arial" w:eastAsia="Times New Roman" w:hAnsi="Arial" w:cs="Arial"/>
                <w:color w:val="000000"/>
                <w:sz w:val="16"/>
                <w:szCs w:val="16"/>
              </w:rPr>
            </w:pPr>
          </w:p>
        </w:tc>
        <w:tc>
          <w:tcPr>
            <w:tcW w:w="256" w:type="pct"/>
          </w:tcPr>
          <w:p w:rsidR="00C865F2" w:rsidRPr="00D6507F" w:rsidRDefault="00C865F2" w:rsidP="00D6507F">
            <w:pPr>
              <w:jc w:val="center"/>
              <w:rPr>
                <w:rFonts w:ascii="Arial" w:eastAsia="Times New Roman" w:hAnsi="Arial" w:cs="Arial"/>
                <w:color w:val="000000"/>
                <w:sz w:val="16"/>
                <w:szCs w:val="16"/>
              </w:rPr>
            </w:pPr>
          </w:p>
        </w:tc>
        <w:tc>
          <w:tcPr>
            <w:tcW w:w="206" w:type="pct"/>
          </w:tcPr>
          <w:p w:rsidR="00C865F2" w:rsidRPr="00D6507F" w:rsidRDefault="00C865F2" w:rsidP="00D6507F">
            <w:pPr>
              <w:jc w:val="center"/>
              <w:rPr>
                <w:rFonts w:ascii="Arial" w:eastAsia="Times New Roman" w:hAnsi="Arial" w:cs="Arial"/>
                <w:color w:val="000000"/>
                <w:sz w:val="16"/>
                <w:szCs w:val="16"/>
              </w:rPr>
            </w:pP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21</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Bank Credit: All Commercial Banks (SA)</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0.28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0.33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0.53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0.59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0.02 </w:t>
            </w:r>
          </w:p>
        </w:tc>
      </w:tr>
      <w:tr w:rsidR="00D6507F" w:rsidRPr="006065FD" w:rsidTr="00FC30E2">
        <w:trPr>
          <w:trHeight w:val="195"/>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22</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Commercial Paper Outstanding:All Issuers (SA)</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0.39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0.52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0.58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0.71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-0.17 </w:t>
            </w:r>
          </w:p>
        </w:tc>
      </w:tr>
      <w:tr w:rsidR="00D6507F" w:rsidRPr="006065FD" w:rsidTr="00FC30E2">
        <w:trPr>
          <w:trHeight w:val="368"/>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23</w:t>
            </w:r>
          </w:p>
        </w:tc>
        <w:tc>
          <w:tcPr>
            <w:tcW w:w="1512" w:type="pct"/>
          </w:tcPr>
          <w:p w:rsidR="00C865F2" w:rsidRPr="00FC30E2" w:rsidRDefault="00C865F2" w:rsidP="00D6507F">
            <w:pPr>
              <w:rPr>
                <w:rFonts w:ascii="Arial" w:eastAsia="Times New Roman" w:hAnsi="Arial" w:cs="Arial"/>
                <w:b/>
                <w:color w:val="000000"/>
                <w:sz w:val="16"/>
                <w:szCs w:val="16"/>
              </w:rPr>
            </w:pPr>
            <w:r w:rsidRPr="00D6507F">
              <w:rPr>
                <w:rFonts w:ascii="Arial" w:eastAsia="Times New Roman" w:hAnsi="Arial" w:cs="Arial"/>
                <w:color w:val="000000"/>
                <w:sz w:val="16"/>
                <w:szCs w:val="16"/>
              </w:rPr>
              <w:t>Commercia</w:t>
            </w:r>
            <w:r w:rsidR="001876CF">
              <w:rPr>
                <w:rFonts w:ascii="Arial" w:eastAsia="Times New Roman" w:hAnsi="Arial" w:cs="Arial"/>
                <w:color w:val="000000"/>
                <w:sz w:val="16"/>
                <w:szCs w:val="16"/>
              </w:rPr>
              <w:t>l Paper Issuance (Relative to 24</w:t>
            </w:r>
            <w:r w:rsidRPr="00D6507F">
              <w:rPr>
                <w:rFonts w:ascii="Arial" w:eastAsia="Times New Roman" w:hAnsi="Arial" w:cs="Arial"/>
                <w:color w:val="000000"/>
                <w:sz w:val="16"/>
                <w:szCs w:val="16"/>
              </w:rPr>
              <w:t>Month MA)</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2002:1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0.79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0.97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0.98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0.98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0.99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-0.14 </w:t>
            </w:r>
          </w:p>
        </w:tc>
      </w:tr>
      <w:tr w:rsidR="00D6507F" w:rsidRPr="006065FD" w:rsidTr="00FC30E2">
        <w:trPr>
          <w:trHeight w:val="242"/>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24</w:t>
            </w:r>
          </w:p>
        </w:tc>
        <w:tc>
          <w:tcPr>
            <w:tcW w:w="1512" w:type="pct"/>
          </w:tcPr>
          <w:p w:rsidR="00C865F2" w:rsidRPr="00D6507F" w:rsidRDefault="006C676C" w:rsidP="00D6507F">
            <w:pPr>
              <w:rPr>
                <w:rFonts w:ascii="Arial" w:eastAsia="Times New Roman" w:hAnsi="Arial" w:cs="Arial"/>
                <w:color w:val="000000"/>
                <w:sz w:val="16"/>
                <w:szCs w:val="16"/>
              </w:rPr>
            </w:pPr>
            <w:r>
              <w:rPr>
                <w:rFonts w:ascii="Arial" w:eastAsia="Times New Roman" w:hAnsi="Arial" w:cs="Arial"/>
                <w:color w:val="000000"/>
                <w:sz w:val="16"/>
                <w:szCs w:val="16"/>
              </w:rPr>
              <w:t>ABS Issuance (Relative to 24</w:t>
            </w:r>
            <w:r w:rsidR="00C865F2" w:rsidRPr="00D6507F">
              <w:rPr>
                <w:rFonts w:ascii="Arial" w:eastAsia="Times New Roman" w:hAnsi="Arial" w:cs="Arial"/>
                <w:color w:val="000000"/>
                <w:sz w:val="16"/>
                <w:szCs w:val="16"/>
              </w:rPr>
              <w:t>Month MA)</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Bloomberg</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1997:1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0.92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0.93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0.96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0.68 </w:t>
            </w:r>
          </w:p>
        </w:tc>
      </w:tr>
      <w:tr w:rsidR="00D6507F" w:rsidRPr="006065FD" w:rsidTr="00FC30E2">
        <w:trPr>
          <w:trHeight w:val="368"/>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25</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CMBS Issuance </w:t>
            </w:r>
            <w:r w:rsidR="00AA7B5D">
              <w:rPr>
                <w:rFonts w:ascii="Arial" w:eastAsia="Times New Roman" w:hAnsi="Arial" w:cs="Arial"/>
                <w:color w:val="000000"/>
                <w:sz w:val="16"/>
                <w:szCs w:val="16"/>
              </w:rPr>
              <w:t>(Alert Database) (Relative to 24</w:t>
            </w:r>
            <w:r w:rsidRPr="00D6507F">
              <w:rPr>
                <w:rFonts w:ascii="Arial" w:eastAsia="Times New Roman" w:hAnsi="Arial" w:cs="Arial"/>
                <w:color w:val="000000"/>
                <w:sz w:val="16"/>
                <w:szCs w:val="16"/>
              </w:rPr>
              <w:t>Month MA)</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Deutsche Bank</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1992:1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0.29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0.79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0.79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0.82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0.90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0.51 </w:t>
            </w:r>
          </w:p>
        </w:tc>
      </w:tr>
      <w:tr w:rsidR="00D6507F" w:rsidRPr="006065FD" w:rsidTr="00FC30E2">
        <w:trPr>
          <w:trHeight w:val="332"/>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26</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Money Stock:MZM {Zero Maturity} (SA)</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Bank of St. Louis</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1974:2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0.13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0.30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0.49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0.55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0.52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0.21 </w:t>
            </w:r>
          </w:p>
        </w:tc>
      </w:tr>
      <w:tr w:rsidR="00D6507F" w:rsidRPr="006065FD" w:rsidTr="00FC30E2">
        <w:trPr>
          <w:trHeight w:val="413"/>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27</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State &amp; local Government:Liability:Credit Market  Instruments (SA)</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0.04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0.13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0.22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0.54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0.55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0.21 </w:t>
            </w:r>
          </w:p>
        </w:tc>
      </w:tr>
      <w:tr w:rsidR="00D6507F" w:rsidRPr="006065FD" w:rsidTr="00FC30E2">
        <w:trPr>
          <w:trHeight w:val="440"/>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28</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Nonfederal Sectors:Liability:Credit Market Debt  Outstanding (SA)</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0.47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0.50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0.50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0.88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0.88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0.06 </w:t>
            </w:r>
          </w:p>
        </w:tc>
      </w:tr>
      <w:tr w:rsidR="00D6507F" w:rsidRPr="006065FD" w:rsidTr="00FC30E2">
        <w:trPr>
          <w:trHeight w:val="260"/>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29</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Private Nonfinancial Debt, SA</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0.55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0.85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0.85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0.02 </w:t>
            </w:r>
          </w:p>
        </w:tc>
      </w:tr>
      <w:tr w:rsidR="00D6507F" w:rsidRPr="006065FD" w:rsidTr="00FC30E2">
        <w:trPr>
          <w:trHeight w:val="170"/>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30</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Total Finance:Liabilities:Security RPs (NSA)  </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1974:2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0.07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0.31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0.42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0.43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0.50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0.36 </w:t>
            </w:r>
          </w:p>
        </w:tc>
      </w:tr>
      <w:tr w:rsidR="00D6507F" w:rsidRPr="006065FD" w:rsidTr="00FC30E2">
        <w:trPr>
          <w:trHeight w:val="242"/>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31</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ABS Issuers:Assets; Consumer Credit (NSA) </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1992:2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2009:3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0.16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0.67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0.73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0.75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0.85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0.30 </w:t>
            </w:r>
          </w:p>
        </w:tc>
      </w:tr>
      <w:tr w:rsidR="00D6507F" w:rsidRPr="006065FD" w:rsidTr="00FC30E2">
        <w:trPr>
          <w:trHeight w:val="440"/>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32</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ABS Issuers:Asset; Mortgages on 1-4 Family Structures (NSA) </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1988:2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0.22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0.73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0.76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0.76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0.88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0.62 </w:t>
            </w:r>
          </w:p>
        </w:tc>
      </w:tr>
      <w:tr w:rsidR="00D6507F" w:rsidRPr="006065FD" w:rsidTr="00FC30E2">
        <w:trPr>
          <w:trHeight w:val="260"/>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33</w:t>
            </w:r>
          </w:p>
        </w:tc>
        <w:tc>
          <w:tcPr>
            <w:tcW w:w="151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ABS Issuers:Asset; Commercial Mortgages (NSA) </w:t>
            </w:r>
          </w:p>
        </w:tc>
        <w:tc>
          <w:tcPr>
            <w:tcW w:w="210" w:type="pct"/>
          </w:tcPr>
          <w:p w:rsidR="00C865F2" w:rsidRPr="00D6507F" w:rsidRDefault="00C865F2"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5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1993:2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0.28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0.75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0.75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0.81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0.92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0.34 </w:t>
            </w:r>
          </w:p>
        </w:tc>
      </w:tr>
      <w:tr w:rsidR="00D6507F" w:rsidRPr="006065FD" w:rsidTr="00FC30E2">
        <w:trPr>
          <w:trHeight w:val="440"/>
        </w:trPr>
        <w:tc>
          <w:tcPr>
            <w:tcW w:w="184"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34</w:t>
            </w:r>
          </w:p>
        </w:tc>
        <w:tc>
          <w:tcPr>
            <w:tcW w:w="1512" w:type="pct"/>
          </w:tcPr>
          <w:p w:rsidR="00C865F2" w:rsidRPr="00D6507F" w:rsidRDefault="00C865F2" w:rsidP="00D6507F">
            <w:pPr>
              <w:rPr>
                <w:rFonts w:ascii="Arial" w:eastAsia="Times New Roman" w:hAnsi="Arial" w:cs="Arial"/>
                <w:color w:val="000000"/>
                <w:sz w:val="16"/>
                <w:szCs w:val="16"/>
                <w:lang w:val="fr-FR"/>
              </w:rPr>
            </w:pPr>
            <w:r w:rsidRPr="00D6507F">
              <w:rPr>
                <w:rFonts w:ascii="Arial" w:eastAsia="Times New Roman" w:hAnsi="Arial" w:cs="Arial"/>
                <w:color w:val="000000"/>
                <w:sz w:val="16"/>
                <w:szCs w:val="16"/>
                <w:lang w:val="fr-FR"/>
              </w:rPr>
              <w:t xml:space="preserve">Total Non-monrtgage </w:t>
            </w:r>
            <w:r w:rsidR="00B301E1">
              <w:rPr>
                <w:rFonts w:ascii="Arial" w:eastAsia="Times New Roman" w:hAnsi="Arial" w:cs="Arial"/>
                <w:color w:val="000000"/>
                <w:sz w:val="16"/>
                <w:szCs w:val="16"/>
                <w:lang w:val="fr-FR"/>
              </w:rPr>
              <w:t>ABS Issuance (NSA) Relative to 8</w:t>
            </w:r>
            <w:r w:rsidRPr="00D6507F">
              <w:rPr>
                <w:rFonts w:ascii="Arial" w:eastAsia="Times New Roman" w:hAnsi="Arial" w:cs="Arial"/>
                <w:color w:val="000000"/>
                <w:sz w:val="16"/>
                <w:szCs w:val="16"/>
                <w:lang w:val="fr-FR"/>
              </w:rPr>
              <w:t>Q MA)</w:t>
            </w:r>
          </w:p>
        </w:tc>
        <w:tc>
          <w:tcPr>
            <w:tcW w:w="210" w:type="pct"/>
          </w:tcPr>
          <w:p w:rsidR="00C865F2" w:rsidRPr="00D6507F" w:rsidRDefault="00C865F2" w:rsidP="00D6507F">
            <w:pPr>
              <w:contextualSpacing/>
              <w:jc w:val="center"/>
              <w:rPr>
                <w:rFonts w:ascii="Arial" w:eastAsia="Times New Roman" w:hAnsi="Arial" w:cs="Arial"/>
                <w:color w:val="000000"/>
                <w:sz w:val="16"/>
                <w:szCs w:val="16"/>
                <w:lang w:val="fr-FR"/>
              </w:rPr>
            </w:pPr>
          </w:p>
        </w:tc>
        <w:tc>
          <w:tcPr>
            <w:tcW w:w="15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lang w:val="fr-FR"/>
              </w:rPr>
              <w:t xml:space="preserve"> </w:t>
            </w:r>
            <w:r w:rsidRPr="00D6507F">
              <w:rPr>
                <w:rFonts w:ascii="Arial" w:eastAsia="Times New Roman" w:hAnsi="Arial" w:cs="Arial"/>
                <w:color w:val="000000"/>
                <w:sz w:val="16"/>
                <w:szCs w:val="16"/>
              </w:rPr>
              <w:t xml:space="preserve">1 </w:t>
            </w:r>
          </w:p>
        </w:tc>
        <w:tc>
          <w:tcPr>
            <w:tcW w:w="830"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Deutsche Bank</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1994:1 </w:t>
            </w:r>
          </w:p>
        </w:tc>
        <w:tc>
          <w:tcPr>
            <w:tcW w:w="330"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0.28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0.90 </w:t>
            </w:r>
          </w:p>
        </w:tc>
        <w:tc>
          <w:tcPr>
            <w:tcW w:w="247"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0.90 </w:t>
            </w:r>
          </w:p>
        </w:tc>
        <w:tc>
          <w:tcPr>
            <w:tcW w:w="252"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0.89 </w:t>
            </w:r>
          </w:p>
        </w:tc>
        <w:tc>
          <w:tcPr>
            <w:tcW w:w="256" w:type="pct"/>
          </w:tcPr>
          <w:p w:rsidR="00C865F2" w:rsidRPr="00D6507F" w:rsidRDefault="00C865F2"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0.94 </w:t>
            </w:r>
          </w:p>
        </w:tc>
        <w:tc>
          <w:tcPr>
            <w:tcW w:w="206" w:type="pct"/>
          </w:tcPr>
          <w:p w:rsidR="00C865F2" w:rsidRPr="00D6507F" w:rsidRDefault="00C865F2"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0.78 </w:t>
            </w:r>
          </w:p>
        </w:tc>
      </w:tr>
      <w:tr w:rsidR="00D6507F" w:rsidRPr="006065FD" w:rsidTr="00FC30E2">
        <w:trPr>
          <w:trHeight w:val="255"/>
        </w:trPr>
        <w:tc>
          <w:tcPr>
            <w:tcW w:w="184" w:type="pct"/>
          </w:tcPr>
          <w:p w:rsidR="00D6507F" w:rsidRPr="00D6507F" w:rsidRDefault="00D6507F" w:rsidP="00733BDD">
            <w:pPr>
              <w:rPr>
                <w:rFonts w:ascii="Arial" w:eastAsia="Times New Roman" w:hAnsi="Arial" w:cs="Arial"/>
                <w:color w:val="000000"/>
                <w:sz w:val="16"/>
                <w:szCs w:val="16"/>
              </w:rPr>
            </w:pPr>
            <w:r w:rsidRPr="00D6507F">
              <w:rPr>
                <w:rFonts w:ascii="Arial" w:eastAsia="Times New Roman" w:hAnsi="Arial" w:cs="Arial"/>
                <w:color w:val="000000"/>
                <w:sz w:val="16"/>
                <w:szCs w:val="16"/>
              </w:rPr>
              <w:t>35</w:t>
            </w:r>
          </w:p>
        </w:tc>
        <w:tc>
          <w:tcPr>
            <w:tcW w:w="1512" w:type="pct"/>
          </w:tcPr>
          <w:p w:rsidR="00D6507F" w:rsidRPr="00D6507F" w:rsidRDefault="00D6507F" w:rsidP="00733BDD">
            <w:pPr>
              <w:rPr>
                <w:rFonts w:ascii="Arial" w:eastAsia="Times New Roman" w:hAnsi="Arial" w:cs="Arial"/>
                <w:color w:val="000000"/>
                <w:sz w:val="16"/>
                <w:szCs w:val="16"/>
              </w:rPr>
            </w:pPr>
            <w:r w:rsidRPr="00D6507F">
              <w:rPr>
                <w:rFonts w:ascii="Arial" w:eastAsia="Times New Roman" w:hAnsi="Arial" w:cs="Arial"/>
                <w:color w:val="000000"/>
                <w:sz w:val="16"/>
                <w:szCs w:val="16"/>
              </w:rPr>
              <w:t>Broker Dealer Leverage</w:t>
            </w:r>
          </w:p>
        </w:tc>
        <w:tc>
          <w:tcPr>
            <w:tcW w:w="210" w:type="pct"/>
          </w:tcPr>
          <w:p w:rsidR="00D6507F" w:rsidRPr="00D6507F" w:rsidRDefault="00D6507F" w:rsidP="00733BDD">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D6507F" w:rsidRPr="00D6507F" w:rsidRDefault="00D6507F" w:rsidP="00733BDD">
            <w:pPr>
              <w:rPr>
                <w:rFonts w:ascii="Arial" w:eastAsia="Times New Roman" w:hAnsi="Arial" w:cs="Arial"/>
                <w:color w:val="000000"/>
                <w:sz w:val="16"/>
                <w:szCs w:val="16"/>
              </w:rPr>
            </w:pPr>
            <w:r w:rsidRPr="00D6507F">
              <w:rPr>
                <w:rFonts w:ascii="Arial" w:eastAsia="Times New Roman" w:hAnsi="Arial" w:cs="Arial"/>
                <w:color w:val="000000"/>
                <w:sz w:val="16"/>
                <w:szCs w:val="16"/>
              </w:rPr>
              <w:t>5</w:t>
            </w:r>
          </w:p>
        </w:tc>
        <w:tc>
          <w:tcPr>
            <w:tcW w:w="830" w:type="pct"/>
          </w:tcPr>
          <w:p w:rsidR="00D6507F" w:rsidRPr="00D6507F" w:rsidRDefault="00D6507F" w:rsidP="00733BDD">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Federal Reserve Board</w:t>
            </w:r>
          </w:p>
        </w:tc>
        <w:tc>
          <w:tcPr>
            <w:tcW w:w="330" w:type="pct"/>
          </w:tcPr>
          <w:p w:rsidR="00D6507F" w:rsidRPr="00D6507F" w:rsidRDefault="00D6507F" w:rsidP="00733BDD">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D6507F" w:rsidRPr="00D6507F" w:rsidRDefault="00D6507F" w:rsidP="00733BDD">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D6507F" w:rsidRPr="00D6507F" w:rsidRDefault="00D6507F" w:rsidP="00733BDD">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0.03 </w:t>
            </w:r>
          </w:p>
        </w:tc>
        <w:tc>
          <w:tcPr>
            <w:tcW w:w="247" w:type="pct"/>
          </w:tcPr>
          <w:p w:rsidR="00D6507F" w:rsidRPr="00D6507F" w:rsidRDefault="00D6507F" w:rsidP="00733BDD">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0.14 </w:t>
            </w:r>
          </w:p>
        </w:tc>
        <w:tc>
          <w:tcPr>
            <w:tcW w:w="247" w:type="pct"/>
          </w:tcPr>
          <w:p w:rsidR="00D6507F" w:rsidRPr="00D6507F" w:rsidRDefault="00D6507F" w:rsidP="00733BDD">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0.20 </w:t>
            </w:r>
          </w:p>
        </w:tc>
        <w:tc>
          <w:tcPr>
            <w:tcW w:w="252" w:type="pct"/>
          </w:tcPr>
          <w:p w:rsidR="00D6507F" w:rsidRPr="00D6507F" w:rsidRDefault="00D6507F" w:rsidP="00733BDD">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0.19 </w:t>
            </w:r>
          </w:p>
        </w:tc>
        <w:tc>
          <w:tcPr>
            <w:tcW w:w="256" w:type="pct"/>
          </w:tcPr>
          <w:p w:rsidR="00D6507F" w:rsidRPr="00D6507F" w:rsidRDefault="00D6507F" w:rsidP="00733BDD">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0.23 </w:t>
            </w:r>
          </w:p>
        </w:tc>
        <w:tc>
          <w:tcPr>
            <w:tcW w:w="206" w:type="pct"/>
          </w:tcPr>
          <w:p w:rsidR="00D6507F" w:rsidRPr="00D6507F" w:rsidRDefault="00D6507F" w:rsidP="00733BDD">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0.24 </w:t>
            </w:r>
          </w:p>
        </w:tc>
      </w:tr>
      <w:tr w:rsidR="00D6507F" w:rsidRPr="006065FD" w:rsidTr="00FC30E2">
        <w:trPr>
          <w:trHeight w:val="255"/>
        </w:trPr>
        <w:tc>
          <w:tcPr>
            <w:tcW w:w="184" w:type="pct"/>
          </w:tcPr>
          <w:p w:rsidR="00D6507F" w:rsidRPr="00D6507F" w:rsidRDefault="00D6507F" w:rsidP="00D6507F">
            <w:pPr>
              <w:rPr>
                <w:rFonts w:ascii="Arial" w:eastAsia="Times New Roman" w:hAnsi="Arial" w:cs="Arial"/>
                <w:color w:val="000000"/>
                <w:sz w:val="16"/>
                <w:szCs w:val="16"/>
              </w:rPr>
            </w:pPr>
          </w:p>
        </w:tc>
        <w:tc>
          <w:tcPr>
            <w:tcW w:w="1512" w:type="pct"/>
          </w:tcPr>
          <w:p w:rsidR="00D6507F" w:rsidRPr="00D6507F" w:rsidRDefault="00D6507F" w:rsidP="00D6507F">
            <w:pPr>
              <w:jc w:val="center"/>
              <w:rPr>
                <w:rFonts w:ascii="Arial" w:eastAsia="Times New Roman" w:hAnsi="Arial" w:cs="Arial"/>
                <w:b/>
                <w:color w:val="000000"/>
                <w:sz w:val="16"/>
                <w:szCs w:val="16"/>
                <w:lang w:val="fr-FR"/>
              </w:rPr>
            </w:pPr>
            <w:r w:rsidRPr="00D6507F">
              <w:rPr>
                <w:rFonts w:ascii="Arial" w:eastAsia="Times New Roman" w:hAnsi="Arial" w:cs="Arial"/>
                <w:b/>
                <w:i/>
                <w:color w:val="000000"/>
                <w:sz w:val="16"/>
                <w:szCs w:val="16"/>
              </w:rPr>
              <w:t>Surveys</w:t>
            </w:r>
          </w:p>
        </w:tc>
        <w:tc>
          <w:tcPr>
            <w:tcW w:w="210" w:type="pct"/>
          </w:tcPr>
          <w:p w:rsidR="00D6507F" w:rsidRPr="00D6507F" w:rsidRDefault="00D6507F" w:rsidP="00D6507F">
            <w:pPr>
              <w:contextualSpacing/>
              <w:jc w:val="center"/>
              <w:rPr>
                <w:rFonts w:ascii="Arial" w:eastAsia="Times New Roman" w:hAnsi="Arial" w:cs="Arial"/>
                <w:color w:val="000000"/>
                <w:sz w:val="16"/>
                <w:szCs w:val="16"/>
              </w:rPr>
            </w:pPr>
          </w:p>
        </w:tc>
        <w:tc>
          <w:tcPr>
            <w:tcW w:w="150" w:type="pct"/>
          </w:tcPr>
          <w:p w:rsidR="00D6507F" w:rsidRPr="00D6507F" w:rsidRDefault="00D6507F" w:rsidP="00D6507F">
            <w:pPr>
              <w:rPr>
                <w:rFonts w:ascii="Arial" w:eastAsia="Times New Roman" w:hAnsi="Arial" w:cs="Arial"/>
                <w:color w:val="000000"/>
                <w:sz w:val="16"/>
                <w:szCs w:val="16"/>
              </w:rPr>
            </w:pPr>
          </w:p>
        </w:tc>
        <w:tc>
          <w:tcPr>
            <w:tcW w:w="830" w:type="pct"/>
          </w:tcPr>
          <w:p w:rsidR="00D6507F" w:rsidRPr="00D6507F" w:rsidRDefault="00D6507F" w:rsidP="00D6507F">
            <w:pPr>
              <w:rPr>
                <w:rFonts w:ascii="Arial" w:eastAsia="Times New Roman" w:hAnsi="Arial" w:cs="Arial"/>
                <w:color w:val="000000"/>
                <w:sz w:val="16"/>
                <w:szCs w:val="16"/>
              </w:rPr>
            </w:pPr>
          </w:p>
        </w:tc>
        <w:tc>
          <w:tcPr>
            <w:tcW w:w="330" w:type="pct"/>
          </w:tcPr>
          <w:p w:rsidR="00D6507F" w:rsidRPr="00D6507F" w:rsidRDefault="00D6507F" w:rsidP="00D6507F">
            <w:pPr>
              <w:jc w:val="center"/>
              <w:rPr>
                <w:rFonts w:ascii="Arial" w:eastAsia="Times New Roman" w:hAnsi="Arial" w:cs="Arial"/>
                <w:color w:val="000000"/>
                <w:sz w:val="16"/>
                <w:szCs w:val="16"/>
              </w:rPr>
            </w:pPr>
          </w:p>
        </w:tc>
        <w:tc>
          <w:tcPr>
            <w:tcW w:w="330" w:type="pct"/>
          </w:tcPr>
          <w:p w:rsidR="00D6507F" w:rsidRPr="00D6507F" w:rsidRDefault="00D6507F" w:rsidP="00D6507F">
            <w:pPr>
              <w:jc w:val="center"/>
              <w:rPr>
                <w:rFonts w:ascii="Arial" w:eastAsia="Times New Roman" w:hAnsi="Arial" w:cs="Arial"/>
                <w:color w:val="000000"/>
                <w:sz w:val="16"/>
                <w:szCs w:val="16"/>
              </w:rPr>
            </w:pPr>
          </w:p>
        </w:tc>
        <w:tc>
          <w:tcPr>
            <w:tcW w:w="247" w:type="pct"/>
          </w:tcPr>
          <w:p w:rsidR="00D6507F" w:rsidRPr="00D6507F" w:rsidRDefault="00D6507F" w:rsidP="00D6507F">
            <w:pPr>
              <w:jc w:val="center"/>
              <w:rPr>
                <w:rFonts w:ascii="Arial" w:eastAsia="Times New Roman" w:hAnsi="Arial" w:cs="Arial"/>
                <w:color w:val="000000"/>
                <w:sz w:val="16"/>
                <w:szCs w:val="16"/>
              </w:rPr>
            </w:pPr>
          </w:p>
        </w:tc>
        <w:tc>
          <w:tcPr>
            <w:tcW w:w="247" w:type="pct"/>
          </w:tcPr>
          <w:p w:rsidR="00D6507F" w:rsidRPr="00D6507F" w:rsidRDefault="00D6507F" w:rsidP="00D6507F">
            <w:pPr>
              <w:jc w:val="center"/>
              <w:rPr>
                <w:rFonts w:ascii="Arial" w:eastAsia="Times New Roman" w:hAnsi="Arial" w:cs="Arial"/>
                <w:color w:val="000000"/>
                <w:sz w:val="16"/>
                <w:szCs w:val="16"/>
              </w:rPr>
            </w:pPr>
          </w:p>
        </w:tc>
        <w:tc>
          <w:tcPr>
            <w:tcW w:w="247" w:type="pct"/>
          </w:tcPr>
          <w:p w:rsidR="00D6507F" w:rsidRPr="00D6507F" w:rsidRDefault="00D6507F" w:rsidP="00D6507F">
            <w:pPr>
              <w:jc w:val="center"/>
              <w:rPr>
                <w:rFonts w:ascii="Arial" w:eastAsia="Times New Roman" w:hAnsi="Arial" w:cs="Arial"/>
                <w:color w:val="000000"/>
                <w:sz w:val="16"/>
                <w:szCs w:val="16"/>
              </w:rPr>
            </w:pPr>
          </w:p>
        </w:tc>
        <w:tc>
          <w:tcPr>
            <w:tcW w:w="252" w:type="pct"/>
          </w:tcPr>
          <w:p w:rsidR="00D6507F" w:rsidRPr="00D6507F" w:rsidRDefault="00D6507F" w:rsidP="00D6507F">
            <w:pPr>
              <w:jc w:val="center"/>
              <w:rPr>
                <w:rFonts w:ascii="Arial" w:eastAsia="Times New Roman" w:hAnsi="Arial" w:cs="Arial"/>
                <w:color w:val="000000"/>
                <w:sz w:val="16"/>
                <w:szCs w:val="16"/>
              </w:rPr>
            </w:pPr>
          </w:p>
        </w:tc>
        <w:tc>
          <w:tcPr>
            <w:tcW w:w="256" w:type="pct"/>
          </w:tcPr>
          <w:p w:rsidR="00D6507F" w:rsidRPr="00D6507F" w:rsidRDefault="00D6507F" w:rsidP="00D6507F">
            <w:pPr>
              <w:jc w:val="center"/>
              <w:rPr>
                <w:rFonts w:ascii="Arial" w:eastAsia="Times New Roman" w:hAnsi="Arial" w:cs="Arial"/>
                <w:color w:val="000000"/>
                <w:sz w:val="16"/>
                <w:szCs w:val="16"/>
              </w:rPr>
            </w:pPr>
          </w:p>
        </w:tc>
        <w:tc>
          <w:tcPr>
            <w:tcW w:w="206" w:type="pct"/>
          </w:tcPr>
          <w:p w:rsidR="00D6507F" w:rsidRPr="00D6507F" w:rsidRDefault="00D6507F" w:rsidP="00D6507F">
            <w:pPr>
              <w:jc w:val="center"/>
              <w:rPr>
                <w:rFonts w:ascii="Arial" w:eastAsia="Times New Roman" w:hAnsi="Arial" w:cs="Arial"/>
                <w:color w:val="000000"/>
                <w:sz w:val="16"/>
                <w:szCs w:val="16"/>
              </w:rPr>
            </w:pPr>
          </w:p>
        </w:tc>
      </w:tr>
      <w:tr w:rsidR="00D6507F" w:rsidRPr="006065FD" w:rsidTr="00FC30E2">
        <w:trPr>
          <w:trHeight w:val="458"/>
        </w:trPr>
        <w:tc>
          <w:tcPr>
            <w:tcW w:w="184"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36</w:t>
            </w:r>
          </w:p>
        </w:tc>
        <w:tc>
          <w:tcPr>
            <w:tcW w:w="1512"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NFIB:%Reporting that Credit Was Harder to Get Last Time, Net (SA)</w:t>
            </w:r>
          </w:p>
        </w:tc>
        <w:tc>
          <w:tcPr>
            <w:tcW w:w="210" w:type="pct"/>
          </w:tcPr>
          <w:p w:rsidR="00D6507F" w:rsidRPr="00D6507F" w:rsidRDefault="00D6507F"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w:t>
            </w:r>
          </w:p>
        </w:tc>
        <w:tc>
          <w:tcPr>
            <w:tcW w:w="830"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National Federation of Independent Business</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1986:1 </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0.42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0.69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0.69 </w:t>
            </w:r>
          </w:p>
        </w:tc>
        <w:tc>
          <w:tcPr>
            <w:tcW w:w="25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0.84 </w:t>
            </w:r>
          </w:p>
        </w:tc>
        <w:tc>
          <w:tcPr>
            <w:tcW w:w="256"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0.84 </w:t>
            </w:r>
          </w:p>
        </w:tc>
        <w:tc>
          <w:tcPr>
            <w:tcW w:w="206"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-0.22 </w:t>
            </w:r>
          </w:p>
        </w:tc>
      </w:tr>
      <w:tr w:rsidR="00D6507F" w:rsidRPr="006065FD" w:rsidTr="00FC30E2">
        <w:trPr>
          <w:trHeight w:val="620"/>
        </w:trPr>
        <w:tc>
          <w:tcPr>
            <w:tcW w:w="184"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37</w:t>
            </w:r>
          </w:p>
        </w:tc>
        <w:tc>
          <w:tcPr>
            <w:tcW w:w="1512"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Michigan Survey:Interest Rates/Credit Reason Good/Bad Conditions for Buying Large HH Goods Spread</w:t>
            </w:r>
          </w:p>
        </w:tc>
        <w:tc>
          <w:tcPr>
            <w:tcW w:w="210" w:type="pct"/>
          </w:tcPr>
          <w:p w:rsidR="00D6507F" w:rsidRPr="00D6507F" w:rsidRDefault="00D6507F"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w:t>
            </w:r>
          </w:p>
        </w:tc>
        <w:tc>
          <w:tcPr>
            <w:tcW w:w="830"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University of Michigan</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1978:1 </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0.68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0.81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0.82 </w:t>
            </w:r>
          </w:p>
        </w:tc>
        <w:tc>
          <w:tcPr>
            <w:tcW w:w="25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0.83 </w:t>
            </w:r>
          </w:p>
        </w:tc>
        <w:tc>
          <w:tcPr>
            <w:tcW w:w="256"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0.91 </w:t>
            </w:r>
          </w:p>
        </w:tc>
        <w:tc>
          <w:tcPr>
            <w:tcW w:w="206"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-0.29 </w:t>
            </w:r>
          </w:p>
        </w:tc>
      </w:tr>
      <w:tr w:rsidR="00D6507F" w:rsidRPr="006065FD" w:rsidTr="00FC30E2">
        <w:trPr>
          <w:trHeight w:val="440"/>
        </w:trPr>
        <w:tc>
          <w:tcPr>
            <w:tcW w:w="184"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38</w:t>
            </w:r>
          </w:p>
        </w:tc>
        <w:tc>
          <w:tcPr>
            <w:tcW w:w="1512"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Michigan Survey:Interest Rates/Credit Reason for Good/Bad Conditions for Buying Houses Spread</w:t>
            </w:r>
          </w:p>
        </w:tc>
        <w:tc>
          <w:tcPr>
            <w:tcW w:w="210" w:type="pct"/>
          </w:tcPr>
          <w:p w:rsidR="00D6507F" w:rsidRPr="00D6507F" w:rsidRDefault="00D6507F"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w:t>
            </w:r>
          </w:p>
        </w:tc>
        <w:tc>
          <w:tcPr>
            <w:tcW w:w="830"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University of Michigan</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1980:2 </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0.70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0.86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0.87 </w:t>
            </w:r>
          </w:p>
        </w:tc>
        <w:tc>
          <w:tcPr>
            <w:tcW w:w="25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0.86 </w:t>
            </w:r>
          </w:p>
        </w:tc>
        <w:tc>
          <w:tcPr>
            <w:tcW w:w="256"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0.93 </w:t>
            </w:r>
          </w:p>
        </w:tc>
        <w:tc>
          <w:tcPr>
            <w:tcW w:w="206"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-0.35 </w:t>
            </w:r>
          </w:p>
        </w:tc>
      </w:tr>
      <w:tr w:rsidR="00D6507F" w:rsidRPr="006065FD" w:rsidTr="00FC30E2">
        <w:trPr>
          <w:trHeight w:val="440"/>
        </w:trPr>
        <w:tc>
          <w:tcPr>
            <w:tcW w:w="184"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39</w:t>
            </w:r>
          </w:p>
        </w:tc>
        <w:tc>
          <w:tcPr>
            <w:tcW w:w="1512" w:type="pct"/>
          </w:tcPr>
          <w:p w:rsidR="00FC30E2"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Michigan Survey:Interest Rates/Credit Reason for </w:t>
            </w:r>
          </w:p>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Good Less Bad Conditions for Buying Autos Spread</w:t>
            </w:r>
          </w:p>
        </w:tc>
        <w:tc>
          <w:tcPr>
            <w:tcW w:w="210" w:type="pct"/>
          </w:tcPr>
          <w:p w:rsidR="00D6507F" w:rsidRPr="00D6507F" w:rsidRDefault="00D6507F"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w:t>
            </w:r>
          </w:p>
        </w:tc>
        <w:tc>
          <w:tcPr>
            <w:tcW w:w="830"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University of Michigan</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1978:1 </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0.56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0.75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0.80 </w:t>
            </w:r>
          </w:p>
        </w:tc>
        <w:tc>
          <w:tcPr>
            <w:tcW w:w="25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0.82 </w:t>
            </w:r>
          </w:p>
        </w:tc>
        <w:tc>
          <w:tcPr>
            <w:tcW w:w="256"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0.89 </w:t>
            </w:r>
          </w:p>
        </w:tc>
        <w:tc>
          <w:tcPr>
            <w:tcW w:w="206"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-0.36 </w:t>
            </w:r>
          </w:p>
        </w:tc>
      </w:tr>
      <w:tr w:rsidR="00D6507F" w:rsidRPr="006065FD" w:rsidTr="00FC30E2">
        <w:trPr>
          <w:trHeight w:val="440"/>
        </w:trPr>
        <w:tc>
          <w:tcPr>
            <w:tcW w:w="184"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40</w:t>
            </w:r>
          </w:p>
        </w:tc>
        <w:tc>
          <w:tcPr>
            <w:tcW w:w="1512"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FRB Sr. Of. Banks Tightening C&amp;I Loans to Large Firms (%)</w:t>
            </w:r>
          </w:p>
        </w:tc>
        <w:tc>
          <w:tcPr>
            <w:tcW w:w="210" w:type="pct"/>
          </w:tcPr>
          <w:p w:rsidR="00D6507F" w:rsidRPr="00D6507F" w:rsidRDefault="00D6507F"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w:t>
            </w:r>
          </w:p>
        </w:tc>
        <w:tc>
          <w:tcPr>
            <w:tcW w:w="830"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University of Michigan</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1990:2 </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0.45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0.81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0.83 </w:t>
            </w:r>
          </w:p>
        </w:tc>
        <w:tc>
          <w:tcPr>
            <w:tcW w:w="25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0.83 </w:t>
            </w:r>
          </w:p>
        </w:tc>
        <w:tc>
          <w:tcPr>
            <w:tcW w:w="256"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0.88 </w:t>
            </w:r>
          </w:p>
        </w:tc>
        <w:tc>
          <w:tcPr>
            <w:tcW w:w="206"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-0.45 </w:t>
            </w:r>
          </w:p>
        </w:tc>
      </w:tr>
      <w:tr w:rsidR="00D6507F" w:rsidRPr="006065FD" w:rsidTr="00FC30E2">
        <w:trPr>
          <w:trHeight w:val="440"/>
        </w:trPr>
        <w:tc>
          <w:tcPr>
            <w:tcW w:w="184"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41</w:t>
            </w:r>
          </w:p>
        </w:tc>
        <w:tc>
          <w:tcPr>
            <w:tcW w:w="1512" w:type="pct"/>
          </w:tcPr>
          <w:p w:rsidR="00FC30E2"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FRB Sr. Of.:Banks Tightening C&amp;I Loans to Small </w:t>
            </w:r>
          </w:p>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Firms (%)</w:t>
            </w:r>
          </w:p>
        </w:tc>
        <w:tc>
          <w:tcPr>
            <w:tcW w:w="210" w:type="pct"/>
          </w:tcPr>
          <w:p w:rsidR="00D6507F" w:rsidRPr="00D6507F" w:rsidRDefault="00D6507F"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w:t>
            </w:r>
          </w:p>
        </w:tc>
        <w:tc>
          <w:tcPr>
            <w:tcW w:w="830"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University of Michigan</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1990:2 </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0.86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0.87 </w:t>
            </w:r>
          </w:p>
        </w:tc>
        <w:tc>
          <w:tcPr>
            <w:tcW w:w="25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0.87 </w:t>
            </w:r>
          </w:p>
        </w:tc>
        <w:tc>
          <w:tcPr>
            <w:tcW w:w="256"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0.91 </w:t>
            </w:r>
          </w:p>
        </w:tc>
        <w:tc>
          <w:tcPr>
            <w:tcW w:w="206"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-0.48 </w:t>
            </w:r>
          </w:p>
        </w:tc>
      </w:tr>
      <w:tr w:rsidR="00D6507F" w:rsidRPr="006065FD" w:rsidTr="00FC30E2">
        <w:trPr>
          <w:trHeight w:val="440"/>
        </w:trPr>
        <w:tc>
          <w:tcPr>
            <w:tcW w:w="184"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42</w:t>
            </w:r>
          </w:p>
        </w:tc>
        <w:tc>
          <w:tcPr>
            <w:tcW w:w="1512"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FRB Sr. Of.:Banks Willingness to Lend to Consumers (%)</w:t>
            </w:r>
          </w:p>
        </w:tc>
        <w:tc>
          <w:tcPr>
            <w:tcW w:w="210" w:type="pct"/>
          </w:tcPr>
          <w:p w:rsidR="00D6507F" w:rsidRPr="00D6507F" w:rsidRDefault="00D6507F" w:rsidP="00D6507F">
            <w:pPr>
              <w:contextualSpacing/>
              <w:jc w:val="center"/>
              <w:rPr>
                <w:rFonts w:ascii="Arial" w:eastAsia="Times New Roman" w:hAnsi="Arial" w:cs="Arial"/>
                <w:color w:val="000000"/>
                <w:sz w:val="16"/>
                <w:szCs w:val="16"/>
              </w:rPr>
            </w:pPr>
            <w:r w:rsidRPr="00D6507F">
              <w:rPr>
                <w:rFonts w:ascii="Arial" w:eastAsia="Times New Roman" w:hAnsi="Arial" w:cs="Arial"/>
                <w:color w:val="000000"/>
                <w:sz w:val="16"/>
                <w:szCs w:val="16"/>
              </w:rPr>
              <w:t>X</w:t>
            </w:r>
          </w:p>
        </w:tc>
        <w:tc>
          <w:tcPr>
            <w:tcW w:w="15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1</w:t>
            </w:r>
          </w:p>
        </w:tc>
        <w:tc>
          <w:tcPr>
            <w:tcW w:w="830"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University of Michigan</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1970:2 </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0.59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0.60 </w:t>
            </w:r>
          </w:p>
        </w:tc>
        <w:tc>
          <w:tcPr>
            <w:tcW w:w="25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0.63 </w:t>
            </w:r>
          </w:p>
        </w:tc>
        <w:tc>
          <w:tcPr>
            <w:tcW w:w="256"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0.66 </w:t>
            </w:r>
          </w:p>
        </w:tc>
        <w:tc>
          <w:tcPr>
            <w:tcW w:w="206"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0.58 </w:t>
            </w:r>
          </w:p>
        </w:tc>
      </w:tr>
      <w:tr w:rsidR="00D6507F" w:rsidRPr="006065FD" w:rsidTr="00FC30E2">
        <w:trPr>
          <w:trHeight w:val="234"/>
        </w:trPr>
        <w:tc>
          <w:tcPr>
            <w:tcW w:w="184" w:type="pct"/>
          </w:tcPr>
          <w:p w:rsidR="00D6507F" w:rsidRPr="00D6507F" w:rsidRDefault="00D6507F" w:rsidP="00D6507F">
            <w:pPr>
              <w:rPr>
                <w:rFonts w:ascii="Arial" w:eastAsia="Times New Roman" w:hAnsi="Arial" w:cs="Arial"/>
                <w:color w:val="000000"/>
                <w:sz w:val="16"/>
                <w:szCs w:val="16"/>
              </w:rPr>
            </w:pPr>
          </w:p>
        </w:tc>
        <w:tc>
          <w:tcPr>
            <w:tcW w:w="1512" w:type="pct"/>
          </w:tcPr>
          <w:p w:rsidR="00D6507F" w:rsidRPr="00D6507F" w:rsidRDefault="00D6507F" w:rsidP="00D6507F">
            <w:pPr>
              <w:jc w:val="center"/>
              <w:rPr>
                <w:rFonts w:ascii="Arial" w:eastAsia="Times New Roman" w:hAnsi="Arial" w:cs="Arial"/>
                <w:b/>
                <w:color w:val="000000"/>
                <w:sz w:val="16"/>
                <w:szCs w:val="16"/>
              </w:rPr>
            </w:pPr>
            <w:r w:rsidRPr="00D6507F">
              <w:rPr>
                <w:rFonts w:ascii="Arial" w:eastAsia="Times New Roman" w:hAnsi="Arial" w:cs="Arial"/>
                <w:b/>
                <w:i/>
                <w:color w:val="000000"/>
                <w:sz w:val="16"/>
                <w:szCs w:val="16"/>
              </w:rPr>
              <w:t>2</w:t>
            </w:r>
            <w:r w:rsidRPr="00D6507F">
              <w:rPr>
                <w:rFonts w:ascii="Arial" w:eastAsia="Times New Roman" w:hAnsi="Arial" w:cs="Arial"/>
                <w:b/>
                <w:i/>
                <w:color w:val="000000"/>
                <w:sz w:val="16"/>
                <w:szCs w:val="16"/>
                <w:vertAlign w:val="superscript"/>
              </w:rPr>
              <w:t>nd</w:t>
            </w:r>
            <w:r w:rsidRPr="00D6507F">
              <w:rPr>
                <w:rFonts w:ascii="Arial" w:eastAsia="Times New Roman" w:hAnsi="Arial" w:cs="Arial"/>
                <w:b/>
                <w:i/>
                <w:color w:val="000000"/>
                <w:sz w:val="16"/>
                <w:szCs w:val="16"/>
              </w:rPr>
              <w:t xml:space="preserve"> Moments</w:t>
            </w:r>
          </w:p>
        </w:tc>
        <w:tc>
          <w:tcPr>
            <w:tcW w:w="210" w:type="pct"/>
          </w:tcPr>
          <w:p w:rsidR="00D6507F" w:rsidRPr="00D6507F" w:rsidRDefault="00D6507F" w:rsidP="00D6507F">
            <w:pPr>
              <w:contextualSpacing/>
              <w:rPr>
                <w:rFonts w:ascii="Arial" w:eastAsia="Times New Roman" w:hAnsi="Arial" w:cs="Arial"/>
                <w:color w:val="000000"/>
                <w:sz w:val="16"/>
                <w:szCs w:val="16"/>
              </w:rPr>
            </w:pPr>
          </w:p>
        </w:tc>
        <w:tc>
          <w:tcPr>
            <w:tcW w:w="150" w:type="pct"/>
          </w:tcPr>
          <w:p w:rsidR="00D6507F" w:rsidRPr="00D6507F" w:rsidRDefault="00D6507F" w:rsidP="00D6507F">
            <w:pPr>
              <w:rPr>
                <w:rFonts w:ascii="Arial" w:eastAsia="Times New Roman" w:hAnsi="Arial" w:cs="Arial"/>
                <w:color w:val="000000"/>
                <w:sz w:val="16"/>
                <w:szCs w:val="16"/>
              </w:rPr>
            </w:pPr>
          </w:p>
        </w:tc>
        <w:tc>
          <w:tcPr>
            <w:tcW w:w="830" w:type="pct"/>
          </w:tcPr>
          <w:p w:rsidR="00D6507F" w:rsidRPr="00D6507F" w:rsidRDefault="00D6507F" w:rsidP="00D6507F">
            <w:pPr>
              <w:rPr>
                <w:rFonts w:ascii="Arial" w:eastAsia="Times New Roman" w:hAnsi="Arial" w:cs="Arial"/>
                <w:color w:val="000000"/>
                <w:sz w:val="16"/>
                <w:szCs w:val="16"/>
              </w:rPr>
            </w:pPr>
          </w:p>
        </w:tc>
        <w:tc>
          <w:tcPr>
            <w:tcW w:w="330" w:type="pct"/>
          </w:tcPr>
          <w:p w:rsidR="00D6507F" w:rsidRPr="00D6507F" w:rsidRDefault="00D6507F" w:rsidP="00D6507F">
            <w:pPr>
              <w:jc w:val="center"/>
              <w:rPr>
                <w:rFonts w:ascii="Arial" w:eastAsia="Times New Roman" w:hAnsi="Arial" w:cs="Arial"/>
                <w:color w:val="000000"/>
                <w:sz w:val="16"/>
                <w:szCs w:val="16"/>
              </w:rPr>
            </w:pPr>
          </w:p>
        </w:tc>
        <w:tc>
          <w:tcPr>
            <w:tcW w:w="330" w:type="pct"/>
          </w:tcPr>
          <w:p w:rsidR="00D6507F" w:rsidRPr="00D6507F" w:rsidRDefault="00D6507F" w:rsidP="00D6507F">
            <w:pPr>
              <w:jc w:val="center"/>
              <w:rPr>
                <w:rFonts w:ascii="Arial" w:eastAsia="Times New Roman" w:hAnsi="Arial" w:cs="Arial"/>
                <w:color w:val="000000"/>
                <w:sz w:val="16"/>
                <w:szCs w:val="16"/>
              </w:rPr>
            </w:pPr>
          </w:p>
        </w:tc>
        <w:tc>
          <w:tcPr>
            <w:tcW w:w="247" w:type="pct"/>
          </w:tcPr>
          <w:p w:rsidR="00D6507F" w:rsidRPr="00D6507F" w:rsidRDefault="00D6507F" w:rsidP="00D6507F">
            <w:pPr>
              <w:jc w:val="center"/>
              <w:rPr>
                <w:rFonts w:ascii="Arial" w:eastAsia="Times New Roman" w:hAnsi="Arial" w:cs="Arial"/>
                <w:color w:val="000000"/>
                <w:sz w:val="16"/>
                <w:szCs w:val="16"/>
              </w:rPr>
            </w:pPr>
          </w:p>
        </w:tc>
        <w:tc>
          <w:tcPr>
            <w:tcW w:w="247" w:type="pct"/>
          </w:tcPr>
          <w:p w:rsidR="00D6507F" w:rsidRPr="00D6507F" w:rsidRDefault="00D6507F" w:rsidP="00D6507F">
            <w:pPr>
              <w:jc w:val="center"/>
              <w:rPr>
                <w:rFonts w:ascii="Arial" w:eastAsia="Times New Roman" w:hAnsi="Arial" w:cs="Arial"/>
                <w:color w:val="000000"/>
                <w:sz w:val="16"/>
                <w:szCs w:val="16"/>
              </w:rPr>
            </w:pPr>
          </w:p>
        </w:tc>
        <w:tc>
          <w:tcPr>
            <w:tcW w:w="247" w:type="pct"/>
          </w:tcPr>
          <w:p w:rsidR="00D6507F" w:rsidRPr="00D6507F" w:rsidRDefault="00D6507F" w:rsidP="00D6507F">
            <w:pPr>
              <w:jc w:val="center"/>
              <w:rPr>
                <w:rFonts w:ascii="Arial" w:eastAsia="Times New Roman" w:hAnsi="Arial" w:cs="Arial"/>
                <w:color w:val="000000"/>
                <w:sz w:val="16"/>
                <w:szCs w:val="16"/>
              </w:rPr>
            </w:pPr>
          </w:p>
        </w:tc>
        <w:tc>
          <w:tcPr>
            <w:tcW w:w="252" w:type="pct"/>
          </w:tcPr>
          <w:p w:rsidR="00D6507F" w:rsidRPr="00D6507F" w:rsidRDefault="00D6507F" w:rsidP="00D6507F">
            <w:pPr>
              <w:jc w:val="center"/>
              <w:rPr>
                <w:rFonts w:ascii="Arial" w:eastAsia="Times New Roman" w:hAnsi="Arial" w:cs="Arial"/>
                <w:color w:val="000000"/>
                <w:sz w:val="16"/>
                <w:szCs w:val="16"/>
              </w:rPr>
            </w:pPr>
          </w:p>
        </w:tc>
        <w:tc>
          <w:tcPr>
            <w:tcW w:w="256" w:type="pct"/>
          </w:tcPr>
          <w:p w:rsidR="00D6507F" w:rsidRPr="00D6507F" w:rsidRDefault="00D6507F" w:rsidP="00D6507F">
            <w:pPr>
              <w:jc w:val="center"/>
              <w:rPr>
                <w:rFonts w:ascii="Arial" w:eastAsia="Times New Roman" w:hAnsi="Arial" w:cs="Arial"/>
                <w:color w:val="000000"/>
                <w:sz w:val="16"/>
                <w:szCs w:val="16"/>
              </w:rPr>
            </w:pPr>
          </w:p>
        </w:tc>
        <w:tc>
          <w:tcPr>
            <w:tcW w:w="206" w:type="pct"/>
          </w:tcPr>
          <w:p w:rsidR="00D6507F" w:rsidRPr="00D6507F" w:rsidRDefault="00D6507F" w:rsidP="00D6507F">
            <w:pPr>
              <w:jc w:val="center"/>
              <w:rPr>
                <w:rFonts w:ascii="Arial" w:eastAsia="Times New Roman" w:hAnsi="Arial" w:cs="Arial"/>
                <w:color w:val="000000"/>
                <w:sz w:val="16"/>
                <w:szCs w:val="16"/>
              </w:rPr>
            </w:pPr>
          </w:p>
        </w:tc>
      </w:tr>
      <w:tr w:rsidR="00D6507F" w:rsidRPr="006065FD" w:rsidTr="00FC30E2">
        <w:trPr>
          <w:trHeight w:val="638"/>
        </w:trPr>
        <w:tc>
          <w:tcPr>
            <w:tcW w:w="184"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43</w:t>
            </w:r>
          </w:p>
        </w:tc>
        <w:tc>
          <w:tcPr>
            <w:tcW w:w="151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Correlation of Returns on Equities and Treasuries</w:t>
            </w:r>
          </w:p>
        </w:tc>
        <w:tc>
          <w:tcPr>
            <w:tcW w:w="210" w:type="pct"/>
          </w:tcPr>
          <w:p w:rsidR="00D6507F" w:rsidRPr="00D6507F" w:rsidRDefault="00D6507F" w:rsidP="00D6507F">
            <w:pPr>
              <w:contextualSpacing/>
              <w:rPr>
                <w:rFonts w:ascii="Arial" w:eastAsia="Times New Roman" w:hAnsi="Arial" w:cs="Arial"/>
                <w:color w:val="000000"/>
                <w:sz w:val="16"/>
                <w:szCs w:val="16"/>
              </w:rPr>
            </w:pPr>
          </w:p>
        </w:tc>
        <w:tc>
          <w:tcPr>
            <w:tcW w:w="15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Authors’ calculations based </w:t>
            </w:r>
          </w:p>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on Standard and Poor’s </w:t>
            </w:r>
          </w:p>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and US Treasury data</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1976:3 </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0.18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0.38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0.47 </w:t>
            </w:r>
          </w:p>
        </w:tc>
        <w:tc>
          <w:tcPr>
            <w:tcW w:w="25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0.51 </w:t>
            </w:r>
          </w:p>
        </w:tc>
        <w:tc>
          <w:tcPr>
            <w:tcW w:w="256"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0.69 </w:t>
            </w:r>
          </w:p>
        </w:tc>
        <w:tc>
          <w:tcPr>
            <w:tcW w:w="206"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0.23 </w:t>
            </w:r>
          </w:p>
        </w:tc>
      </w:tr>
      <w:tr w:rsidR="00D6507F" w:rsidRPr="006065FD" w:rsidTr="00FC30E2">
        <w:trPr>
          <w:trHeight w:val="260"/>
        </w:trPr>
        <w:tc>
          <w:tcPr>
            <w:tcW w:w="184"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44</w:t>
            </w:r>
          </w:p>
        </w:tc>
        <w:tc>
          <w:tcPr>
            <w:tcW w:w="151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Idiosyncratic Bank Stock Volatility</w:t>
            </w:r>
          </w:p>
        </w:tc>
        <w:tc>
          <w:tcPr>
            <w:tcW w:w="210" w:type="pct"/>
          </w:tcPr>
          <w:p w:rsidR="00D6507F" w:rsidRPr="00D6507F" w:rsidRDefault="00D6507F" w:rsidP="00D6507F">
            <w:pPr>
              <w:contextualSpacing/>
              <w:rPr>
                <w:rFonts w:ascii="Arial" w:eastAsia="Times New Roman" w:hAnsi="Arial" w:cs="Arial"/>
                <w:color w:val="000000"/>
                <w:sz w:val="16"/>
                <w:szCs w:val="16"/>
              </w:rPr>
            </w:pPr>
          </w:p>
        </w:tc>
        <w:tc>
          <w:tcPr>
            <w:tcW w:w="15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Goldman Sachs</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1973:1 </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0.20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0.52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0.71 </w:t>
            </w:r>
          </w:p>
        </w:tc>
        <w:tc>
          <w:tcPr>
            <w:tcW w:w="25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0.72 </w:t>
            </w:r>
          </w:p>
        </w:tc>
        <w:tc>
          <w:tcPr>
            <w:tcW w:w="256"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0.77 </w:t>
            </w:r>
          </w:p>
        </w:tc>
        <w:tc>
          <w:tcPr>
            <w:tcW w:w="206"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-0.53 </w:t>
            </w:r>
          </w:p>
        </w:tc>
      </w:tr>
      <w:tr w:rsidR="00D6507F" w:rsidRPr="006065FD" w:rsidTr="00FC30E2">
        <w:trPr>
          <w:trHeight w:val="255"/>
        </w:trPr>
        <w:tc>
          <w:tcPr>
            <w:tcW w:w="184"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45</w:t>
            </w:r>
          </w:p>
        </w:tc>
        <w:tc>
          <w:tcPr>
            <w:tcW w:w="151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Monthly Average VIX </w:t>
            </w:r>
          </w:p>
        </w:tc>
        <w:tc>
          <w:tcPr>
            <w:tcW w:w="210" w:type="pct"/>
          </w:tcPr>
          <w:p w:rsidR="00D6507F" w:rsidRPr="00D6507F" w:rsidRDefault="00D6507F" w:rsidP="00D6507F">
            <w:pPr>
              <w:contextualSpacing/>
              <w:rPr>
                <w:rFonts w:ascii="Arial" w:eastAsia="Times New Roman" w:hAnsi="Arial" w:cs="Arial"/>
                <w:color w:val="000000"/>
                <w:sz w:val="16"/>
                <w:szCs w:val="16"/>
              </w:rPr>
            </w:pPr>
          </w:p>
        </w:tc>
        <w:tc>
          <w:tcPr>
            <w:tcW w:w="15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1 </w:t>
            </w:r>
          </w:p>
        </w:tc>
        <w:tc>
          <w:tcPr>
            <w:tcW w:w="830"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Chicago Options Exchange</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1986:1 </w:t>
            </w:r>
          </w:p>
        </w:tc>
        <w:tc>
          <w:tcPr>
            <w:tcW w:w="330"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2009:4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0.24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0.73 </w:t>
            </w:r>
          </w:p>
        </w:tc>
        <w:tc>
          <w:tcPr>
            <w:tcW w:w="247"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0.81 </w:t>
            </w:r>
          </w:p>
        </w:tc>
        <w:tc>
          <w:tcPr>
            <w:tcW w:w="252"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 </w:t>
            </w:r>
          </w:p>
        </w:tc>
        <w:tc>
          <w:tcPr>
            <w:tcW w:w="256" w:type="pct"/>
          </w:tcPr>
          <w:p w:rsidR="00D6507F" w:rsidRPr="00D6507F" w:rsidRDefault="00D6507F" w:rsidP="00D6507F">
            <w:pPr>
              <w:rPr>
                <w:rFonts w:ascii="Arial" w:eastAsia="Times New Roman" w:hAnsi="Arial" w:cs="Arial"/>
                <w:color w:val="000000"/>
                <w:sz w:val="16"/>
                <w:szCs w:val="16"/>
              </w:rPr>
            </w:pPr>
            <w:r w:rsidRPr="00D6507F">
              <w:rPr>
                <w:rFonts w:ascii="Arial" w:eastAsia="Times New Roman" w:hAnsi="Arial" w:cs="Arial"/>
                <w:color w:val="000000"/>
                <w:sz w:val="16"/>
                <w:szCs w:val="16"/>
              </w:rPr>
              <w:t xml:space="preserve"> 0.82 </w:t>
            </w:r>
          </w:p>
        </w:tc>
        <w:tc>
          <w:tcPr>
            <w:tcW w:w="206" w:type="pct"/>
          </w:tcPr>
          <w:p w:rsidR="00D6507F" w:rsidRPr="00D6507F" w:rsidRDefault="00D6507F" w:rsidP="00D6507F">
            <w:pPr>
              <w:ind w:right="-180"/>
              <w:contextualSpacing/>
              <w:rPr>
                <w:rFonts w:ascii="Arial" w:eastAsia="Times New Roman" w:hAnsi="Arial" w:cs="Arial"/>
                <w:color w:val="000000"/>
                <w:sz w:val="16"/>
                <w:szCs w:val="16"/>
              </w:rPr>
            </w:pPr>
            <w:r w:rsidRPr="00D6507F">
              <w:rPr>
                <w:rFonts w:ascii="Arial" w:eastAsia="Times New Roman" w:hAnsi="Arial" w:cs="Arial"/>
                <w:color w:val="000000"/>
                <w:sz w:val="16"/>
                <w:szCs w:val="16"/>
              </w:rPr>
              <w:t>-0.64</w:t>
            </w:r>
          </w:p>
        </w:tc>
      </w:tr>
      <w:tr w:rsidR="00D6507F" w:rsidRPr="006065FD" w:rsidTr="00FC30E2">
        <w:trPr>
          <w:trHeight w:val="255"/>
        </w:trPr>
        <w:tc>
          <w:tcPr>
            <w:tcW w:w="184" w:type="pct"/>
          </w:tcPr>
          <w:p w:rsidR="00D6507F" w:rsidRPr="00D6507F" w:rsidRDefault="00D6507F" w:rsidP="00D6507F">
            <w:pPr>
              <w:rPr>
                <w:rFonts w:ascii="Arial" w:eastAsia="Times New Roman" w:hAnsi="Arial" w:cs="Arial"/>
                <w:color w:val="000000"/>
                <w:sz w:val="16"/>
                <w:szCs w:val="16"/>
              </w:rPr>
            </w:pPr>
          </w:p>
        </w:tc>
        <w:tc>
          <w:tcPr>
            <w:tcW w:w="1512" w:type="pct"/>
          </w:tcPr>
          <w:p w:rsidR="00D6507F" w:rsidRPr="00D6507F" w:rsidRDefault="00D6507F" w:rsidP="00D6507F">
            <w:pPr>
              <w:rPr>
                <w:rFonts w:ascii="Arial" w:eastAsia="Times New Roman" w:hAnsi="Arial" w:cs="Arial"/>
                <w:color w:val="000000"/>
                <w:sz w:val="16"/>
                <w:szCs w:val="16"/>
                <w:vertAlign w:val="superscript"/>
              </w:rPr>
            </w:pPr>
            <w:r w:rsidRPr="00D6507F">
              <w:rPr>
                <w:rFonts w:ascii="Arial" w:eastAsia="Times New Roman" w:hAnsi="Arial" w:cs="Arial"/>
                <w:color w:val="000000"/>
                <w:sz w:val="16"/>
                <w:szCs w:val="16"/>
              </w:rPr>
              <w:t xml:space="preserve">Average </w:t>
            </w:r>
            <w:r w:rsidRPr="00D6507F">
              <w:rPr>
                <w:rFonts w:ascii="Arial" w:eastAsia="Times New Roman" w:hAnsi="Arial" w:cs="Arial"/>
                <w:i/>
                <w:color w:val="000000"/>
                <w:sz w:val="16"/>
                <w:szCs w:val="16"/>
              </w:rPr>
              <w:t>R</w:t>
            </w:r>
            <w:r w:rsidRPr="00D6507F">
              <w:rPr>
                <w:rFonts w:ascii="Arial" w:eastAsia="Times New Roman" w:hAnsi="Arial" w:cs="Arial"/>
                <w:color w:val="000000"/>
                <w:sz w:val="16"/>
                <w:szCs w:val="16"/>
                <w:vertAlign w:val="superscript"/>
              </w:rPr>
              <w:t>2</w:t>
            </w:r>
          </w:p>
        </w:tc>
        <w:tc>
          <w:tcPr>
            <w:tcW w:w="210" w:type="pct"/>
          </w:tcPr>
          <w:p w:rsidR="00D6507F" w:rsidRPr="00D6507F" w:rsidRDefault="00D6507F" w:rsidP="00D6507F">
            <w:pPr>
              <w:rPr>
                <w:rFonts w:ascii="Arial" w:eastAsia="Times New Roman" w:hAnsi="Arial" w:cs="Arial"/>
                <w:color w:val="000000"/>
                <w:sz w:val="16"/>
                <w:szCs w:val="16"/>
              </w:rPr>
            </w:pPr>
          </w:p>
        </w:tc>
        <w:tc>
          <w:tcPr>
            <w:tcW w:w="150" w:type="pct"/>
          </w:tcPr>
          <w:p w:rsidR="00D6507F" w:rsidRPr="00D6507F" w:rsidRDefault="00D6507F" w:rsidP="00D6507F">
            <w:pPr>
              <w:rPr>
                <w:rFonts w:ascii="Arial" w:eastAsia="Times New Roman" w:hAnsi="Arial" w:cs="Arial"/>
                <w:color w:val="000000"/>
                <w:sz w:val="16"/>
                <w:szCs w:val="16"/>
              </w:rPr>
            </w:pPr>
          </w:p>
        </w:tc>
        <w:tc>
          <w:tcPr>
            <w:tcW w:w="830" w:type="pct"/>
          </w:tcPr>
          <w:p w:rsidR="00D6507F" w:rsidRPr="00D6507F" w:rsidRDefault="00D6507F" w:rsidP="00D6507F">
            <w:pPr>
              <w:jc w:val="center"/>
              <w:rPr>
                <w:rFonts w:ascii="Arial" w:eastAsia="Times New Roman" w:hAnsi="Arial" w:cs="Arial"/>
                <w:color w:val="000000"/>
                <w:sz w:val="16"/>
                <w:szCs w:val="16"/>
              </w:rPr>
            </w:pPr>
          </w:p>
        </w:tc>
        <w:tc>
          <w:tcPr>
            <w:tcW w:w="330" w:type="pct"/>
          </w:tcPr>
          <w:p w:rsidR="00D6507F" w:rsidRPr="00D6507F" w:rsidRDefault="00D6507F" w:rsidP="00D6507F">
            <w:pPr>
              <w:jc w:val="center"/>
              <w:rPr>
                <w:rFonts w:ascii="Arial" w:eastAsia="Times New Roman" w:hAnsi="Arial" w:cs="Arial"/>
                <w:color w:val="000000"/>
                <w:sz w:val="16"/>
                <w:szCs w:val="16"/>
              </w:rPr>
            </w:pPr>
          </w:p>
        </w:tc>
        <w:tc>
          <w:tcPr>
            <w:tcW w:w="330" w:type="pct"/>
          </w:tcPr>
          <w:p w:rsidR="00D6507F" w:rsidRPr="00D6507F" w:rsidRDefault="00D6507F" w:rsidP="00D6507F">
            <w:pPr>
              <w:jc w:val="center"/>
              <w:rPr>
                <w:rFonts w:ascii="Arial" w:eastAsia="Times New Roman" w:hAnsi="Arial" w:cs="Arial"/>
                <w:color w:val="000000"/>
                <w:sz w:val="16"/>
                <w:szCs w:val="16"/>
              </w:rPr>
            </w:pPr>
          </w:p>
        </w:tc>
        <w:tc>
          <w:tcPr>
            <w:tcW w:w="247" w:type="pct"/>
          </w:tcPr>
          <w:p w:rsidR="00D6507F" w:rsidRPr="00D6507F" w:rsidRDefault="00D6507F" w:rsidP="00D6507F">
            <w:pPr>
              <w:ind w:right="-187"/>
              <w:rPr>
                <w:rFonts w:ascii="Arial" w:eastAsia="Times New Roman" w:hAnsi="Arial" w:cs="Arial"/>
                <w:color w:val="000000"/>
                <w:sz w:val="16"/>
                <w:szCs w:val="16"/>
              </w:rPr>
            </w:pPr>
            <w:r w:rsidRPr="00D6507F">
              <w:rPr>
                <w:rFonts w:ascii="Arial" w:eastAsia="Times New Roman" w:hAnsi="Arial" w:cs="Arial"/>
                <w:color w:val="000000"/>
                <w:sz w:val="16"/>
                <w:szCs w:val="16"/>
              </w:rPr>
              <w:t>0.29</w:t>
            </w:r>
          </w:p>
        </w:tc>
        <w:tc>
          <w:tcPr>
            <w:tcW w:w="247" w:type="pct"/>
          </w:tcPr>
          <w:p w:rsidR="00D6507F" w:rsidRPr="00D6507F" w:rsidRDefault="00D6507F" w:rsidP="00D6507F">
            <w:pPr>
              <w:ind w:right="-187"/>
              <w:rPr>
                <w:rFonts w:ascii="Arial" w:eastAsia="Times New Roman" w:hAnsi="Arial" w:cs="Arial"/>
                <w:color w:val="000000"/>
                <w:sz w:val="16"/>
                <w:szCs w:val="16"/>
              </w:rPr>
            </w:pPr>
            <w:r w:rsidRPr="00D6507F">
              <w:rPr>
                <w:rFonts w:ascii="Arial" w:eastAsia="Times New Roman" w:hAnsi="Arial" w:cs="Arial"/>
                <w:color w:val="000000"/>
                <w:sz w:val="16"/>
                <w:szCs w:val="16"/>
              </w:rPr>
              <w:t>0.41</w:t>
            </w:r>
          </w:p>
        </w:tc>
        <w:tc>
          <w:tcPr>
            <w:tcW w:w="247" w:type="pct"/>
          </w:tcPr>
          <w:p w:rsidR="00D6507F" w:rsidRPr="00D6507F" w:rsidRDefault="00D6507F" w:rsidP="00D6507F">
            <w:pPr>
              <w:ind w:right="-187"/>
              <w:rPr>
                <w:rFonts w:ascii="Arial" w:eastAsia="Times New Roman" w:hAnsi="Arial" w:cs="Arial"/>
                <w:color w:val="000000"/>
                <w:sz w:val="16"/>
                <w:szCs w:val="16"/>
              </w:rPr>
            </w:pPr>
            <w:r w:rsidRPr="00D6507F">
              <w:rPr>
                <w:rFonts w:ascii="Arial" w:eastAsia="Times New Roman" w:hAnsi="Arial" w:cs="Arial"/>
                <w:color w:val="000000"/>
                <w:sz w:val="16"/>
                <w:szCs w:val="16"/>
              </w:rPr>
              <w:t>0.49</w:t>
            </w:r>
          </w:p>
        </w:tc>
        <w:tc>
          <w:tcPr>
            <w:tcW w:w="252" w:type="pct"/>
          </w:tcPr>
          <w:p w:rsidR="00D6507F" w:rsidRPr="00D6507F" w:rsidRDefault="00D6507F" w:rsidP="00D6507F">
            <w:pPr>
              <w:ind w:right="-187"/>
              <w:rPr>
                <w:rFonts w:ascii="Arial" w:eastAsia="Times New Roman" w:hAnsi="Arial" w:cs="Arial"/>
                <w:color w:val="000000"/>
                <w:sz w:val="16"/>
                <w:szCs w:val="16"/>
              </w:rPr>
            </w:pPr>
            <w:r w:rsidRPr="00D6507F">
              <w:rPr>
                <w:rFonts w:ascii="Arial" w:eastAsia="Times New Roman" w:hAnsi="Arial" w:cs="Arial"/>
                <w:color w:val="000000"/>
                <w:sz w:val="16"/>
                <w:szCs w:val="16"/>
              </w:rPr>
              <w:t>0.57</w:t>
            </w:r>
          </w:p>
        </w:tc>
        <w:tc>
          <w:tcPr>
            <w:tcW w:w="256" w:type="pct"/>
          </w:tcPr>
          <w:p w:rsidR="00D6507F" w:rsidRPr="00D6507F" w:rsidRDefault="00D6507F" w:rsidP="00D6507F">
            <w:pPr>
              <w:ind w:right="-187"/>
              <w:rPr>
                <w:rFonts w:ascii="Arial" w:eastAsia="Times New Roman" w:hAnsi="Arial" w:cs="Arial"/>
                <w:color w:val="000000"/>
                <w:sz w:val="16"/>
                <w:szCs w:val="16"/>
              </w:rPr>
            </w:pPr>
            <w:r w:rsidRPr="00D6507F">
              <w:rPr>
                <w:rFonts w:ascii="Arial" w:eastAsia="Times New Roman" w:hAnsi="Arial" w:cs="Arial"/>
                <w:color w:val="000000"/>
                <w:sz w:val="16"/>
                <w:szCs w:val="16"/>
              </w:rPr>
              <w:t>0.65</w:t>
            </w:r>
          </w:p>
        </w:tc>
        <w:tc>
          <w:tcPr>
            <w:tcW w:w="206" w:type="pct"/>
          </w:tcPr>
          <w:p w:rsidR="00D6507F" w:rsidRPr="00D6507F" w:rsidRDefault="00D6507F" w:rsidP="00D6507F">
            <w:pPr>
              <w:rPr>
                <w:rFonts w:ascii="Arial" w:eastAsia="Times New Roman" w:hAnsi="Arial" w:cs="Arial"/>
                <w:color w:val="000000"/>
                <w:sz w:val="16"/>
                <w:szCs w:val="16"/>
              </w:rPr>
            </w:pPr>
          </w:p>
        </w:tc>
      </w:tr>
    </w:tbl>
    <w:p w:rsidR="00C865F2" w:rsidRDefault="00C865F2" w:rsidP="00C865F2">
      <w:pPr>
        <w:pStyle w:val="ColorfulList-Accent12"/>
        <w:tabs>
          <w:tab w:val="left" w:pos="-540"/>
        </w:tabs>
        <w:spacing w:line="240" w:lineRule="auto"/>
        <w:ind w:left="-180" w:right="-180"/>
      </w:pPr>
    </w:p>
    <w:p w:rsidR="00D6507F" w:rsidRDefault="00C865F2" w:rsidP="00C865F2">
      <w:pPr>
        <w:pStyle w:val="ColorfulList-Accent12"/>
        <w:tabs>
          <w:tab w:val="left" w:pos="-540"/>
        </w:tabs>
        <w:spacing w:line="240" w:lineRule="auto"/>
        <w:ind w:left="-180" w:right="-180"/>
        <w:sectPr w:rsidR="00D6507F" w:rsidSect="00D6507F">
          <w:footerReference w:type="even" r:id="rId34"/>
          <w:footerReference w:type="default" r:id="rId35"/>
          <w:pgSz w:w="15840" w:h="12240" w:orient="landscape"/>
          <w:pgMar w:top="1440" w:right="1440" w:bottom="1440" w:left="1440" w:header="720" w:footer="720" w:gutter="0"/>
          <w:cols w:space="720"/>
          <w:docGrid w:linePitch="360"/>
        </w:sectPr>
      </w:pPr>
      <w:r>
        <w:t xml:space="preserve">Notes: </w:t>
      </w:r>
      <w:r w:rsidRPr="00DB15BC">
        <w:t xml:space="preserve">In the column labeled </w:t>
      </w:r>
      <w:r w:rsidRPr="00DB15BC">
        <w:rPr>
          <w:i/>
        </w:rPr>
        <w:t xml:space="preserve">NU, </w:t>
      </w:r>
      <w:r w:rsidRPr="00DB15BC">
        <w:t>an “X” denotes variable was not used in any of the alternative FCIs we have surveyed.</w:t>
      </w:r>
      <w:r w:rsidRPr="001B3529">
        <w:rPr>
          <w:color w:val="FF0000"/>
        </w:rPr>
        <w:t xml:space="preserve"> </w:t>
      </w:r>
      <w:r>
        <w:t xml:space="preserve">The column labeled </w:t>
      </w:r>
      <w:r>
        <w:rPr>
          <w:i/>
        </w:rPr>
        <w:t>T</w:t>
      </w:r>
      <w:r>
        <w:t xml:space="preserve"> shows the transformation (1=level, 2=first difference, 4 = logarithm, 5 = first difference of logarithm).  The start and end dates indicate the periods the series was used in to estimate the factors. The five columns labeled </w:t>
      </w:r>
      <w:r>
        <w:rPr>
          <w:i/>
        </w:rPr>
        <w:t>R</w:t>
      </w:r>
      <w:r>
        <w:rPr>
          <w:vertAlign w:val="superscript"/>
        </w:rPr>
        <w:t>2</w:t>
      </w:r>
      <w:r>
        <w:t xml:space="preserve"> show the </w:t>
      </w:r>
      <w:r>
        <w:rPr>
          <w:i/>
        </w:rPr>
        <w:t>R</w:t>
      </w:r>
      <w:r>
        <w:rPr>
          <w:vertAlign w:val="superscript"/>
        </w:rPr>
        <w:t>2</w:t>
      </w:r>
      <w:r>
        <w:rPr>
          <w:i/>
        </w:rPr>
        <w:t xml:space="preserve"> </w:t>
      </w:r>
      <w:r>
        <w:t>for model including A(L)</w:t>
      </w:r>
      <w:r>
        <w:rPr>
          <w:i/>
        </w:rPr>
        <w:t>Y</w:t>
      </w:r>
      <w:r>
        <w:t xml:space="preserve">, and then sequentially adding 0, 1, and 4 factors.  The column labeled </w:t>
      </w:r>
      <w:r>
        <w:sym w:font="Symbol" w:char="F04C"/>
      </w:r>
      <w:r>
        <w:rPr>
          <w:vertAlign w:val="subscript"/>
        </w:rPr>
        <w:t>1</w:t>
      </w:r>
      <w:r>
        <w:t xml:space="preserve"> shows the estimated value of </w:t>
      </w:r>
      <w:r>
        <w:sym w:font="Symbol" w:char="F04C"/>
      </w:r>
      <w:r>
        <w:t xml:space="preserve"> for the single factor model.</w:t>
      </w:r>
    </w:p>
    <w:p w:rsidR="00C865F2" w:rsidRDefault="00C865F2" w:rsidP="00C865F2">
      <w:pPr>
        <w:pStyle w:val="ColorfulList-Accent12"/>
        <w:tabs>
          <w:tab w:val="left" w:pos="-540"/>
        </w:tabs>
        <w:spacing w:line="240" w:lineRule="auto"/>
        <w:ind w:left="-180" w:right="-180"/>
      </w:pPr>
    </w:p>
    <w:p w:rsidR="00C865F2" w:rsidRDefault="00C865F2" w:rsidP="00C865F2">
      <w:pPr>
        <w:pStyle w:val="ColorfulList-Accent12"/>
        <w:tabs>
          <w:tab w:val="left" w:pos="-540"/>
        </w:tabs>
        <w:spacing w:line="240" w:lineRule="auto"/>
        <w:ind w:left="-180" w:right="-180"/>
      </w:pPr>
    </w:p>
    <w:p w:rsidR="00C865F2" w:rsidRDefault="00C865F2" w:rsidP="00C865F2">
      <w:pPr>
        <w:jc w:val="center"/>
        <w:rPr>
          <w:rFonts w:ascii="Times New Roman" w:hAnsi="Times New Roman"/>
          <w:b/>
        </w:rPr>
      </w:pPr>
      <w:r w:rsidRPr="00CD186A">
        <w:rPr>
          <w:rFonts w:ascii="Times New Roman" w:hAnsi="Times New Roman"/>
          <w:b/>
        </w:rPr>
        <w:t>Figure 4.</w:t>
      </w:r>
      <w:r>
        <w:rPr>
          <w:rFonts w:ascii="Times New Roman" w:hAnsi="Times New Roman"/>
          <w:b/>
        </w:rPr>
        <w:t>1</w:t>
      </w:r>
      <w:r w:rsidRPr="00CD186A">
        <w:rPr>
          <w:rFonts w:ascii="Times New Roman" w:hAnsi="Times New Roman"/>
          <w:b/>
        </w:rPr>
        <w:t>:</w:t>
      </w:r>
      <w:r>
        <w:rPr>
          <w:rFonts w:ascii="Times New Roman" w:hAnsi="Times New Roman"/>
          <w:b/>
        </w:rPr>
        <w:t xml:space="preserve"> </w:t>
      </w:r>
      <w:r w:rsidRPr="00CD186A">
        <w:rPr>
          <w:rFonts w:ascii="Times New Roman" w:hAnsi="Times New Roman"/>
          <w:b/>
        </w:rPr>
        <w:t>Number of Financial Indicators by Date</w:t>
      </w:r>
    </w:p>
    <w:p w:rsidR="00C865F2" w:rsidRPr="00643DF6" w:rsidRDefault="00C865F2" w:rsidP="00C865F2">
      <w:pPr>
        <w:jc w:val="center"/>
        <w:rPr>
          <w:rFonts w:ascii="Times New Roman" w:hAnsi="Times New Roman"/>
          <w:b/>
        </w:rPr>
      </w:pPr>
    </w:p>
    <w:p w:rsidR="00C865F2" w:rsidRDefault="00C865F2" w:rsidP="00C865F2">
      <w:pPr>
        <w:tabs>
          <w:tab w:val="left" w:pos="90"/>
        </w:tabs>
      </w:pPr>
    </w:p>
    <w:p w:rsidR="00C865F2" w:rsidRPr="007D5FD9" w:rsidRDefault="00DF738F" w:rsidP="00C865F2">
      <w:pPr>
        <w:tabs>
          <w:tab w:val="left" w:pos="90"/>
        </w:tabs>
        <w:jc w:val="center"/>
      </w:pPr>
      <w:r>
        <w:rPr>
          <w:noProof/>
        </w:rPr>
        <w:drawing>
          <wp:inline distT="0" distB="0" distL="0" distR="0">
            <wp:extent cx="5977518" cy="4800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cstate="print"/>
                    <a:srcRect/>
                    <a:stretch>
                      <a:fillRect/>
                    </a:stretch>
                  </pic:blipFill>
                  <pic:spPr bwMode="auto">
                    <a:xfrm>
                      <a:off x="0" y="0"/>
                      <a:ext cx="5977518" cy="4800600"/>
                    </a:xfrm>
                    <a:prstGeom prst="rect">
                      <a:avLst/>
                    </a:prstGeom>
                    <a:noFill/>
                    <a:ln w="9525">
                      <a:noFill/>
                      <a:miter lim="800000"/>
                      <a:headEnd/>
                      <a:tailEnd/>
                    </a:ln>
                  </pic:spPr>
                </pic:pic>
              </a:graphicData>
            </a:graphic>
          </wp:inline>
        </w:drawing>
      </w:r>
    </w:p>
    <w:p w:rsidR="00C865F2" w:rsidRDefault="00C865F2" w:rsidP="00C865F2">
      <w:pPr>
        <w:tabs>
          <w:tab w:val="left" w:pos="90"/>
        </w:tabs>
        <w:jc w:val="center"/>
        <w:rPr>
          <w:rFonts w:ascii="Times New Roman" w:hAnsi="Times New Roman"/>
          <w:b/>
        </w:rPr>
      </w:pPr>
    </w:p>
    <w:p w:rsidR="00C865F2" w:rsidRDefault="00C865F2" w:rsidP="00C865F2">
      <w:pPr>
        <w:tabs>
          <w:tab w:val="left" w:pos="90"/>
        </w:tabs>
        <w:jc w:val="center"/>
        <w:rPr>
          <w:rFonts w:ascii="Times New Roman" w:hAnsi="Times New Roman"/>
          <w:b/>
        </w:rP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Default="00C865F2" w:rsidP="00C865F2">
      <w:pPr>
        <w:pStyle w:val="ColorfulList-Accent12"/>
        <w:tabs>
          <w:tab w:val="left" w:pos="-540"/>
        </w:tabs>
        <w:spacing w:line="240" w:lineRule="auto"/>
        <w:ind w:left="-180" w:right="-180"/>
        <w:jc w:val="center"/>
      </w:pPr>
    </w:p>
    <w:p w:rsidR="00C865F2" w:rsidRPr="005B2F45" w:rsidRDefault="00C865F2" w:rsidP="00C865F2">
      <w:pPr>
        <w:pStyle w:val="ColorfulList-Accent12"/>
        <w:tabs>
          <w:tab w:val="left" w:pos="-540"/>
        </w:tabs>
        <w:spacing w:line="240" w:lineRule="auto"/>
        <w:ind w:left="-180" w:right="-180"/>
        <w:jc w:val="center"/>
        <w:rPr>
          <w:b/>
        </w:rPr>
      </w:pPr>
      <w:r>
        <w:rPr>
          <w:b/>
        </w:rPr>
        <w:t>Figure 4.2</w:t>
      </w:r>
      <w:r w:rsidRPr="005B2F45">
        <w:rPr>
          <w:b/>
        </w:rPr>
        <w:t>:  Ranking of variables by their lambdas in single factor model</w:t>
      </w:r>
    </w:p>
    <w:p w:rsidR="00C865F2" w:rsidRPr="005B2F45" w:rsidRDefault="00C865F2" w:rsidP="00C865F2">
      <w:pPr>
        <w:pStyle w:val="ColorfulList-Accent12"/>
        <w:tabs>
          <w:tab w:val="left" w:pos="-540"/>
        </w:tabs>
        <w:spacing w:line="240" w:lineRule="auto"/>
        <w:ind w:left="-180" w:right="-180"/>
        <w:rPr>
          <w:b/>
        </w:rPr>
      </w:pPr>
    </w:p>
    <w:p w:rsidR="00C865F2" w:rsidRDefault="00C865F2" w:rsidP="00C865F2">
      <w:pPr>
        <w:pStyle w:val="ColorfulList-Accent12"/>
        <w:tabs>
          <w:tab w:val="left" w:pos="-540"/>
        </w:tabs>
        <w:spacing w:line="240" w:lineRule="auto"/>
        <w:ind w:left="-180" w:right="-180"/>
      </w:pPr>
      <w:r>
        <w:t xml:space="preserve">                     Financial indicator( lambda absolute value) *           Absolute value of lambda </w:t>
      </w:r>
    </w:p>
    <w:p w:rsidR="00C865F2" w:rsidRPr="00143846" w:rsidRDefault="00DF738F" w:rsidP="00C865F2">
      <w:pPr>
        <w:pStyle w:val="ColorfulList-Accent12"/>
        <w:tabs>
          <w:tab w:val="left" w:pos="-540"/>
        </w:tabs>
        <w:spacing w:line="240" w:lineRule="auto"/>
        <w:ind w:left="1080" w:right="-180"/>
      </w:pPr>
      <w:r>
        <w:rPr>
          <w:noProof/>
        </w:rPr>
        <w:drawing>
          <wp:inline distT="0" distB="0" distL="0" distR="0">
            <wp:extent cx="6010275" cy="62960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cstate="print"/>
                    <a:srcRect/>
                    <a:stretch>
                      <a:fillRect/>
                    </a:stretch>
                  </pic:blipFill>
                  <pic:spPr bwMode="auto">
                    <a:xfrm>
                      <a:off x="0" y="0"/>
                      <a:ext cx="6010275" cy="6296025"/>
                    </a:xfrm>
                    <a:prstGeom prst="rect">
                      <a:avLst/>
                    </a:prstGeom>
                    <a:noFill/>
                    <a:ln w="9525">
                      <a:noFill/>
                      <a:miter lim="800000"/>
                      <a:headEnd/>
                      <a:tailEnd/>
                    </a:ln>
                  </pic:spPr>
                </pic:pic>
              </a:graphicData>
            </a:graphic>
          </wp:inline>
        </w:drawing>
      </w:r>
    </w:p>
    <w:p w:rsidR="00C865F2" w:rsidRDefault="00C865F2" w:rsidP="00C865F2">
      <w:pPr>
        <w:pStyle w:val="ColorfulList-Accent12"/>
        <w:tabs>
          <w:tab w:val="left" w:pos="-540"/>
        </w:tabs>
        <w:spacing w:line="240" w:lineRule="auto"/>
        <w:ind w:left="1080" w:right="-180"/>
      </w:pPr>
    </w:p>
    <w:p w:rsidR="00C865F2" w:rsidRDefault="00C865F2" w:rsidP="00C865F2">
      <w:pPr>
        <w:pStyle w:val="ColorfulList-Accent12"/>
        <w:tabs>
          <w:tab w:val="left" w:pos="-540"/>
        </w:tabs>
        <w:spacing w:line="240" w:lineRule="auto"/>
        <w:ind w:left="1080" w:right="-180"/>
      </w:pPr>
    </w:p>
    <w:p w:rsidR="00C865F2" w:rsidRDefault="00C865F2" w:rsidP="00C865F2">
      <w:pPr>
        <w:pStyle w:val="ColorfulList-Accent12"/>
        <w:tabs>
          <w:tab w:val="left" w:pos="-540"/>
        </w:tabs>
        <w:spacing w:line="240" w:lineRule="auto"/>
        <w:ind w:left="1080" w:right="-180"/>
      </w:pPr>
      <w:r>
        <w:t>*Numbers preceding  variable name correspond to line numbers in table 4.1.</w:t>
      </w:r>
    </w:p>
    <w:p w:rsidR="00C865F2" w:rsidRDefault="00C865F2" w:rsidP="00C865F2">
      <w:pPr>
        <w:pStyle w:val="ColorfulList-Accent12"/>
        <w:tabs>
          <w:tab w:val="left" w:pos="-540"/>
        </w:tabs>
        <w:spacing w:line="240" w:lineRule="auto"/>
        <w:ind w:left="-180" w:right="-180"/>
        <w:jc w:val="center"/>
        <w:rPr>
          <w:b/>
        </w:rPr>
      </w:pPr>
    </w:p>
    <w:p w:rsidR="00C865F2" w:rsidRDefault="00C865F2" w:rsidP="00C865F2">
      <w:pPr>
        <w:pStyle w:val="ColorfulList-Accent12"/>
        <w:tabs>
          <w:tab w:val="left" w:pos="-540"/>
        </w:tabs>
        <w:spacing w:line="240" w:lineRule="auto"/>
        <w:ind w:left="-180" w:right="-180"/>
        <w:jc w:val="center"/>
        <w:rPr>
          <w:b/>
        </w:rPr>
      </w:pPr>
    </w:p>
    <w:p w:rsidR="007F1C0D" w:rsidRDefault="007F1C0D">
      <w:pPr>
        <w:rPr>
          <w:rFonts w:ascii="Times New Roman" w:eastAsia="Calibri" w:hAnsi="Times New Roman"/>
          <w:b/>
          <w:szCs w:val="22"/>
        </w:rPr>
      </w:pPr>
      <w:r>
        <w:rPr>
          <w:b/>
        </w:rPr>
        <w:br w:type="page"/>
      </w:r>
    </w:p>
    <w:p w:rsidR="00C865F2" w:rsidRDefault="00C865F2" w:rsidP="00C865F2">
      <w:pPr>
        <w:pStyle w:val="ColorfulList-Accent12"/>
        <w:tabs>
          <w:tab w:val="left" w:pos="-540"/>
        </w:tabs>
        <w:spacing w:line="240" w:lineRule="auto"/>
        <w:ind w:left="-180" w:right="-180"/>
        <w:jc w:val="center"/>
        <w:rPr>
          <w:b/>
        </w:rPr>
      </w:pPr>
      <w:r>
        <w:rPr>
          <w:b/>
        </w:rPr>
        <w:t>Figure 4.3</w:t>
      </w:r>
      <w:r w:rsidRPr="004A2DAA">
        <w:rPr>
          <w:b/>
        </w:rPr>
        <w:t>:  Ranking of variables by their lambdas in single factor model</w:t>
      </w:r>
    </w:p>
    <w:p w:rsidR="007F1C0D" w:rsidRPr="004A2DAA" w:rsidRDefault="007F1C0D" w:rsidP="00C865F2">
      <w:pPr>
        <w:pStyle w:val="ColorfulList-Accent12"/>
        <w:tabs>
          <w:tab w:val="left" w:pos="-540"/>
        </w:tabs>
        <w:spacing w:line="240" w:lineRule="auto"/>
        <w:ind w:left="-180" w:right="-180"/>
        <w:jc w:val="center"/>
        <w:rPr>
          <w:b/>
        </w:rPr>
      </w:pPr>
    </w:p>
    <w:p w:rsidR="00C865F2" w:rsidRDefault="00C865F2" w:rsidP="00C865F2">
      <w:pPr>
        <w:pStyle w:val="ColorfulList-Accent12"/>
        <w:tabs>
          <w:tab w:val="left" w:pos="-540"/>
        </w:tabs>
        <w:spacing w:line="240" w:lineRule="auto"/>
        <w:ind w:left="-180" w:right="-180"/>
      </w:pPr>
    </w:p>
    <w:p w:rsidR="00C865F2" w:rsidRDefault="00C865F2" w:rsidP="00C865F2">
      <w:pPr>
        <w:pStyle w:val="ColorfulList-Accent12"/>
        <w:tabs>
          <w:tab w:val="left" w:pos="-540"/>
        </w:tabs>
        <w:spacing w:line="240" w:lineRule="auto"/>
        <w:ind w:left="-180" w:right="-180"/>
      </w:pPr>
      <w:r>
        <w:t xml:space="preserve">                 Financial indicator  (lambda value) *                                                        lambda value</w:t>
      </w:r>
    </w:p>
    <w:p w:rsidR="00C865F2" w:rsidRPr="00B266BE" w:rsidRDefault="00DF738F" w:rsidP="00C865F2">
      <w:pPr>
        <w:pStyle w:val="ColorfulList-Accent12"/>
        <w:tabs>
          <w:tab w:val="left" w:pos="-540"/>
        </w:tabs>
        <w:spacing w:line="240" w:lineRule="auto"/>
        <w:ind w:left="-180" w:right="-180"/>
      </w:pPr>
      <w:r>
        <w:rPr>
          <w:noProof/>
        </w:rPr>
        <w:drawing>
          <wp:inline distT="0" distB="0" distL="0" distR="0">
            <wp:extent cx="6610350" cy="6305550"/>
            <wp:effectExtent l="0" t="0" r="0" b="0"/>
            <wp:docPr id="2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865F2" w:rsidRDefault="00C865F2" w:rsidP="00C865F2">
      <w:pPr>
        <w:pStyle w:val="ColorfulList-Accent12"/>
        <w:tabs>
          <w:tab w:val="left" w:pos="-540"/>
        </w:tabs>
        <w:spacing w:line="240" w:lineRule="auto"/>
        <w:ind w:left="1080" w:right="-180"/>
      </w:pPr>
    </w:p>
    <w:p w:rsidR="00C865F2" w:rsidRDefault="00C865F2" w:rsidP="00C865F2">
      <w:pPr>
        <w:pStyle w:val="ColorfulList-Accent12"/>
        <w:tabs>
          <w:tab w:val="left" w:pos="-540"/>
        </w:tabs>
        <w:spacing w:line="240" w:lineRule="auto"/>
        <w:ind w:left="1080" w:right="-180"/>
      </w:pPr>
      <w:r>
        <w:t>*Numbers preceding variable name correspond to line numbers in table 4.1.</w:t>
      </w:r>
    </w:p>
    <w:p w:rsidR="00C865F2" w:rsidRPr="00A810F8" w:rsidRDefault="00C865F2" w:rsidP="00C865F2">
      <w:pPr>
        <w:spacing w:before="100" w:beforeAutospacing="1" w:after="100" w:afterAutospacing="1"/>
        <w:rPr>
          <w:rFonts w:ascii="Arial" w:eastAsia="Times New Roman" w:hAnsi="Arial" w:cs="Arial"/>
          <w:color w:val="000000"/>
          <w:sz w:val="20"/>
          <w:szCs w:val="20"/>
        </w:rPr>
      </w:pPr>
      <w:bookmarkStart w:id="0" w:name="topic11"/>
      <w:bookmarkEnd w:id="0"/>
    </w:p>
    <w:p w:rsidR="00C865F2" w:rsidRDefault="00C865F2" w:rsidP="00C865F2">
      <w:pPr>
        <w:pStyle w:val="ColorfulList-Accent12"/>
        <w:tabs>
          <w:tab w:val="left" w:pos="-540"/>
        </w:tabs>
        <w:spacing w:line="240" w:lineRule="auto"/>
        <w:ind w:left="1080" w:right="-180"/>
      </w:pPr>
    </w:p>
    <w:p w:rsidR="00C865F2" w:rsidRDefault="00C865F2" w:rsidP="00C865F2">
      <w:pPr>
        <w:tabs>
          <w:tab w:val="left" w:pos="90"/>
        </w:tabs>
        <w:jc w:val="center"/>
        <w:rPr>
          <w:rFonts w:ascii="Times New Roman" w:hAnsi="Times New Roman"/>
          <w:b/>
        </w:rPr>
      </w:pPr>
    </w:p>
    <w:p w:rsidR="00C865F2" w:rsidRDefault="00C865F2" w:rsidP="00C865F2">
      <w:pPr>
        <w:tabs>
          <w:tab w:val="left" w:pos="90"/>
        </w:tabs>
        <w:jc w:val="center"/>
        <w:rPr>
          <w:rFonts w:ascii="Times New Roman" w:hAnsi="Times New Roman"/>
          <w:b/>
        </w:rPr>
      </w:pPr>
    </w:p>
    <w:p w:rsidR="00C865F2" w:rsidRDefault="00C865F2" w:rsidP="007F1C0D">
      <w:pPr>
        <w:tabs>
          <w:tab w:val="left" w:pos="90"/>
        </w:tabs>
        <w:jc w:val="center"/>
        <w:rPr>
          <w:rFonts w:ascii="Times New Roman" w:hAnsi="Times New Roman"/>
          <w:b/>
        </w:rPr>
      </w:pPr>
      <w:r w:rsidRPr="00CD186A">
        <w:rPr>
          <w:rFonts w:ascii="Times New Roman" w:hAnsi="Times New Roman"/>
          <w:b/>
        </w:rPr>
        <w:t>Figure 5.1: New FCI: First Principal Component of 4</w:t>
      </w:r>
      <w:r>
        <w:rPr>
          <w:rFonts w:ascii="Times New Roman" w:hAnsi="Times New Roman"/>
          <w:b/>
        </w:rPr>
        <w:t>5</w:t>
      </w:r>
      <w:r w:rsidRPr="00CD186A">
        <w:rPr>
          <w:rFonts w:ascii="Times New Roman" w:hAnsi="Times New Roman"/>
          <w:b/>
        </w:rPr>
        <w:t xml:space="preserve"> Financial Indicators</w:t>
      </w:r>
    </w:p>
    <w:p w:rsidR="00C865F2" w:rsidRPr="007D5FD9" w:rsidRDefault="00DF738F" w:rsidP="00C865F2">
      <w:pPr>
        <w:jc w:val="center"/>
        <w:rPr>
          <w:rFonts w:ascii="Arial" w:hAnsi="Arial" w:cs="Arial"/>
          <w:sz w:val="20"/>
          <w:szCs w:val="20"/>
        </w:rPr>
      </w:pPr>
      <w:r>
        <w:rPr>
          <w:noProof/>
        </w:rPr>
        <w:drawing>
          <wp:inline distT="0" distB="0" distL="0" distR="0">
            <wp:extent cx="6400800" cy="435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cstate="print"/>
                    <a:srcRect/>
                    <a:stretch>
                      <a:fillRect/>
                    </a:stretch>
                  </pic:blipFill>
                  <pic:spPr bwMode="auto">
                    <a:xfrm>
                      <a:off x="0" y="0"/>
                      <a:ext cx="6400800" cy="4352925"/>
                    </a:xfrm>
                    <a:prstGeom prst="rect">
                      <a:avLst/>
                    </a:prstGeom>
                    <a:noFill/>
                    <a:ln w="9525">
                      <a:noFill/>
                      <a:miter lim="800000"/>
                      <a:headEnd/>
                      <a:tailEnd/>
                    </a:ln>
                  </pic:spPr>
                </pic:pic>
              </a:graphicData>
            </a:graphic>
          </wp:inline>
        </w:drawing>
      </w:r>
    </w:p>
    <w:p w:rsidR="00C865F2" w:rsidRPr="002A66EA" w:rsidRDefault="00C865F2" w:rsidP="00C865F2">
      <w:pPr>
        <w:tabs>
          <w:tab w:val="left" w:pos="90"/>
        </w:tabs>
        <w:jc w:val="center"/>
        <w:rPr>
          <w:rFonts w:ascii="Arial" w:hAnsi="Arial" w:cs="Arial"/>
          <w:sz w:val="20"/>
          <w:szCs w:val="20"/>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Default="00C865F2" w:rsidP="00C865F2">
      <w:pPr>
        <w:pStyle w:val="ColorfulList-Accent12"/>
        <w:tabs>
          <w:tab w:val="left" w:pos="90"/>
        </w:tabs>
        <w:ind w:left="0"/>
        <w:jc w:val="center"/>
        <w:rPr>
          <w:b/>
        </w:rPr>
      </w:pPr>
    </w:p>
    <w:p w:rsidR="00C865F2" w:rsidRPr="00322978" w:rsidRDefault="00C865F2" w:rsidP="00C865F2">
      <w:pPr>
        <w:pStyle w:val="ColorfulList-Accent12"/>
        <w:tabs>
          <w:tab w:val="left" w:pos="90"/>
        </w:tabs>
        <w:ind w:left="0"/>
        <w:jc w:val="center"/>
        <w:rPr>
          <w:b/>
        </w:rPr>
      </w:pPr>
      <w:r>
        <w:rPr>
          <w:b/>
        </w:rPr>
        <w:t>T</w:t>
      </w:r>
      <w:r w:rsidRPr="00322978">
        <w:rPr>
          <w:b/>
        </w:rPr>
        <w:t>able 5.1:</w:t>
      </w:r>
      <w:r>
        <w:rPr>
          <w:b/>
        </w:rPr>
        <w:t xml:space="preserve"> </w:t>
      </w:r>
      <w:r w:rsidRPr="00322978">
        <w:rPr>
          <w:b/>
        </w:rPr>
        <w:t>Relative RMSE for Forecasting Models Using Financial Indicator Factors</w:t>
      </w:r>
    </w:p>
    <w:p w:rsidR="00C865F2" w:rsidRDefault="00C865F2" w:rsidP="00C865F2">
      <w:pPr>
        <w:pStyle w:val="ColorfulList-Accent12"/>
        <w:tabs>
          <w:tab w:val="left" w:pos="90"/>
        </w:tabs>
        <w:ind w:left="0"/>
        <w:jc w:val="center"/>
      </w:pPr>
    </w:p>
    <w:p w:rsidR="00C865F2" w:rsidRDefault="00C865F2" w:rsidP="00C865F2">
      <w:pPr>
        <w:pStyle w:val="ColorfulList-Accent12"/>
        <w:jc w:val="center"/>
      </w:pPr>
      <w:r>
        <w:t xml:space="preserve">(a) </w:t>
      </w:r>
      <w:r>
        <w:rPr>
          <w:i/>
        </w:rPr>
        <w:t xml:space="preserve">h </w:t>
      </w:r>
      <w:r>
        <w:t>=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7"/>
        <w:gridCol w:w="983"/>
        <w:gridCol w:w="983"/>
        <w:gridCol w:w="963"/>
        <w:gridCol w:w="963"/>
        <w:gridCol w:w="963"/>
        <w:gridCol w:w="963"/>
        <w:gridCol w:w="963"/>
        <w:gridCol w:w="908"/>
      </w:tblGrid>
      <w:tr w:rsidR="00C865F2" w:rsidRPr="00B50F02" w:rsidTr="007D13DB">
        <w:tc>
          <w:tcPr>
            <w:tcW w:w="985" w:type="pct"/>
          </w:tcPr>
          <w:p w:rsidR="00C865F2" w:rsidRPr="00B50F02" w:rsidRDefault="00C865F2" w:rsidP="007D13DB">
            <w:pPr>
              <w:rPr>
                <w:rFonts w:ascii="Arial" w:hAnsi="Arial" w:cs="Arial"/>
                <w:sz w:val="20"/>
                <w:szCs w:val="20"/>
              </w:rPr>
            </w:pPr>
            <w:r w:rsidRPr="00B50F02">
              <w:rPr>
                <w:rFonts w:ascii="Arial" w:hAnsi="Arial" w:cs="Arial"/>
                <w:sz w:val="20"/>
                <w:szCs w:val="20"/>
              </w:rPr>
              <w:t>FCI</w:t>
            </w:r>
          </w:p>
        </w:tc>
        <w:tc>
          <w:tcPr>
            <w:tcW w:w="513" w:type="pct"/>
          </w:tcPr>
          <w:p w:rsidR="00C865F2" w:rsidRPr="00B50F02" w:rsidRDefault="00C865F2" w:rsidP="007D13DB">
            <w:pPr>
              <w:rPr>
                <w:rFonts w:ascii="Arial" w:hAnsi="Arial" w:cs="Arial"/>
                <w:sz w:val="20"/>
                <w:szCs w:val="20"/>
              </w:rPr>
            </w:pPr>
            <w:r w:rsidRPr="00B50F02">
              <w:rPr>
                <w:rFonts w:ascii="Arial" w:hAnsi="Arial" w:cs="Arial"/>
                <w:sz w:val="20"/>
                <w:szCs w:val="20"/>
              </w:rPr>
              <w:t>1970.I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1974.IV  </w:t>
            </w:r>
          </w:p>
        </w:tc>
        <w:tc>
          <w:tcPr>
            <w:tcW w:w="513" w:type="pct"/>
          </w:tcPr>
          <w:p w:rsidR="00C865F2" w:rsidRPr="00B50F02" w:rsidRDefault="00C865F2" w:rsidP="007D13DB">
            <w:pPr>
              <w:rPr>
                <w:rFonts w:ascii="Arial" w:hAnsi="Arial" w:cs="Arial"/>
                <w:sz w:val="20"/>
                <w:szCs w:val="20"/>
              </w:rPr>
            </w:pPr>
            <w:r w:rsidRPr="00B50F02">
              <w:rPr>
                <w:rFonts w:ascii="Arial" w:hAnsi="Arial" w:cs="Arial"/>
                <w:sz w:val="20"/>
                <w:szCs w:val="20"/>
              </w:rPr>
              <w:t>1975.I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1979.IV  </w:t>
            </w:r>
          </w:p>
        </w:tc>
        <w:tc>
          <w:tcPr>
            <w:tcW w:w="503" w:type="pct"/>
          </w:tcPr>
          <w:p w:rsidR="00C865F2" w:rsidRPr="00B50F02" w:rsidRDefault="00C865F2" w:rsidP="007D13DB">
            <w:pPr>
              <w:rPr>
                <w:rFonts w:ascii="Arial" w:hAnsi="Arial" w:cs="Arial"/>
                <w:sz w:val="20"/>
                <w:szCs w:val="20"/>
              </w:rPr>
            </w:pPr>
            <w:r w:rsidRPr="00B50F02">
              <w:rPr>
                <w:rFonts w:ascii="Arial" w:hAnsi="Arial" w:cs="Arial"/>
                <w:sz w:val="20"/>
                <w:szCs w:val="20"/>
              </w:rPr>
              <w:t>1980.I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1984. IV  </w:t>
            </w:r>
          </w:p>
        </w:tc>
        <w:tc>
          <w:tcPr>
            <w:tcW w:w="503" w:type="pct"/>
          </w:tcPr>
          <w:p w:rsidR="00C865F2" w:rsidRPr="00B50F02" w:rsidRDefault="00C865F2" w:rsidP="007D13DB">
            <w:pPr>
              <w:rPr>
                <w:rFonts w:ascii="Arial" w:hAnsi="Arial" w:cs="Arial"/>
                <w:sz w:val="20"/>
                <w:szCs w:val="20"/>
              </w:rPr>
            </w:pPr>
            <w:r w:rsidRPr="00B50F02">
              <w:rPr>
                <w:rFonts w:ascii="Arial" w:hAnsi="Arial" w:cs="Arial"/>
                <w:sz w:val="20"/>
                <w:szCs w:val="20"/>
              </w:rPr>
              <w:t xml:space="preserve">1985.I -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1989. IV  </w:t>
            </w:r>
          </w:p>
        </w:tc>
        <w:tc>
          <w:tcPr>
            <w:tcW w:w="503" w:type="pct"/>
          </w:tcPr>
          <w:p w:rsidR="00C865F2" w:rsidRPr="00B50F02" w:rsidRDefault="00C865F2" w:rsidP="007D13DB">
            <w:pPr>
              <w:rPr>
                <w:rFonts w:ascii="Arial" w:hAnsi="Arial" w:cs="Arial"/>
                <w:sz w:val="20"/>
                <w:szCs w:val="20"/>
              </w:rPr>
            </w:pPr>
            <w:r w:rsidRPr="00B50F02">
              <w:rPr>
                <w:rFonts w:ascii="Arial" w:hAnsi="Arial" w:cs="Arial"/>
                <w:sz w:val="20"/>
                <w:szCs w:val="20"/>
              </w:rPr>
              <w:t xml:space="preserve">1990.I -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1994. IV </w:t>
            </w:r>
          </w:p>
        </w:tc>
        <w:tc>
          <w:tcPr>
            <w:tcW w:w="503" w:type="pct"/>
          </w:tcPr>
          <w:p w:rsidR="00C865F2" w:rsidRPr="00B50F02" w:rsidRDefault="00C865F2" w:rsidP="007D13DB">
            <w:pPr>
              <w:rPr>
                <w:rFonts w:ascii="Arial" w:hAnsi="Arial" w:cs="Arial"/>
                <w:sz w:val="20"/>
                <w:szCs w:val="20"/>
              </w:rPr>
            </w:pPr>
            <w:r w:rsidRPr="00B50F02">
              <w:rPr>
                <w:rFonts w:ascii="Arial" w:hAnsi="Arial" w:cs="Arial"/>
                <w:sz w:val="20"/>
                <w:szCs w:val="20"/>
              </w:rPr>
              <w:t xml:space="preserve">1995.I -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1999. IV  </w:t>
            </w:r>
          </w:p>
        </w:tc>
        <w:tc>
          <w:tcPr>
            <w:tcW w:w="503" w:type="pct"/>
          </w:tcPr>
          <w:p w:rsidR="00C865F2" w:rsidRPr="00B50F02" w:rsidRDefault="00C865F2" w:rsidP="007D13DB">
            <w:pPr>
              <w:rPr>
                <w:rFonts w:ascii="Arial" w:hAnsi="Arial" w:cs="Arial"/>
                <w:sz w:val="20"/>
                <w:szCs w:val="20"/>
              </w:rPr>
            </w:pPr>
            <w:r w:rsidRPr="00B50F02">
              <w:rPr>
                <w:rFonts w:ascii="Arial" w:hAnsi="Arial" w:cs="Arial"/>
                <w:sz w:val="20"/>
                <w:szCs w:val="20"/>
              </w:rPr>
              <w:t xml:space="preserve">2000.I -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2004. IV  </w:t>
            </w:r>
          </w:p>
        </w:tc>
        <w:tc>
          <w:tcPr>
            <w:tcW w:w="474" w:type="pct"/>
          </w:tcPr>
          <w:p w:rsidR="00C865F2" w:rsidRPr="00B50F02" w:rsidRDefault="00C865F2" w:rsidP="007D13DB">
            <w:pPr>
              <w:rPr>
                <w:rFonts w:ascii="Arial" w:hAnsi="Arial" w:cs="Arial"/>
                <w:sz w:val="20"/>
                <w:szCs w:val="20"/>
              </w:rPr>
            </w:pPr>
            <w:r w:rsidRPr="00B50F02">
              <w:rPr>
                <w:rFonts w:ascii="Arial" w:hAnsi="Arial" w:cs="Arial"/>
                <w:sz w:val="20"/>
                <w:szCs w:val="20"/>
              </w:rPr>
              <w:t>2005.I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EOS </w:t>
            </w:r>
          </w:p>
        </w:tc>
      </w:tr>
      <w:tr w:rsidR="00C865F2" w:rsidRPr="00B50F02" w:rsidTr="007D13DB">
        <w:trPr>
          <w:trHeight w:hRule="exact" w:val="298"/>
        </w:trPr>
        <w:tc>
          <w:tcPr>
            <w:tcW w:w="985" w:type="pct"/>
          </w:tcPr>
          <w:p w:rsidR="00C865F2" w:rsidRPr="00E903C1" w:rsidRDefault="00C865F2" w:rsidP="007D13DB">
            <w:pPr>
              <w:pStyle w:val="ColorfulList-Accent12"/>
              <w:spacing w:line="240" w:lineRule="auto"/>
              <w:ind w:left="0"/>
              <w:rPr>
                <w:rFonts w:ascii="Arial" w:hAnsi="Arial" w:cs="Arial"/>
                <w:i/>
                <w:sz w:val="20"/>
                <w:szCs w:val="20"/>
              </w:rPr>
            </w:pPr>
            <w:r w:rsidRPr="00E903C1">
              <w:rPr>
                <w:rFonts w:ascii="Arial" w:hAnsi="Arial" w:cs="Arial"/>
                <w:i/>
                <w:sz w:val="20"/>
                <w:szCs w:val="20"/>
              </w:rPr>
              <w:t>1 PC</w:t>
            </w: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0.87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1.55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0.88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1.60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0.93 </w:t>
            </w:r>
          </w:p>
        </w:tc>
        <w:tc>
          <w:tcPr>
            <w:tcW w:w="474"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0.66 </w:t>
            </w:r>
          </w:p>
        </w:tc>
      </w:tr>
      <w:tr w:rsidR="00C865F2" w:rsidRPr="00B50F02" w:rsidTr="007D13DB">
        <w:trPr>
          <w:trHeight w:hRule="exact" w:val="271"/>
        </w:trPr>
        <w:tc>
          <w:tcPr>
            <w:tcW w:w="985" w:type="pct"/>
          </w:tcPr>
          <w:p w:rsidR="00C865F2" w:rsidRPr="00E903C1" w:rsidRDefault="00C865F2" w:rsidP="007D13DB">
            <w:pPr>
              <w:pStyle w:val="ColorfulList-Accent12"/>
              <w:spacing w:line="240" w:lineRule="auto"/>
              <w:ind w:left="0"/>
              <w:rPr>
                <w:rFonts w:ascii="Arial" w:hAnsi="Arial" w:cs="Arial"/>
                <w:i/>
                <w:sz w:val="20"/>
                <w:szCs w:val="20"/>
              </w:rPr>
            </w:pPr>
            <w:r w:rsidRPr="00E903C1">
              <w:rPr>
                <w:rFonts w:ascii="Arial" w:hAnsi="Arial" w:cs="Arial"/>
                <w:i/>
                <w:sz w:val="20"/>
                <w:szCs w:val="20"/>
              </w:rPr>
              <w:t>2 PCs</w:t>
            </w: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0.82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1.89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1.04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1.87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1.01 </w:t>
            </w:r>
          </w:p>
        </w:tc>
        <w:tc>
          <w:tcPr>
            <w:tcW w:w="474"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0.69 </w:t>
            </w:r>
          </w:p>
        </w:tc>
      </w:tr>
      <w:tr w:rsidR="00C865F2" w:rsidRPr="00B50F02" w:rsidTr="007D13DB">
        <w:trPr>
          <w:trHeight w:hRule="exact" w:val="271"/>
        </w:trPr>
        <w:tc>
          <w:tcPr>
            <w:tcW w:w="985" w:type="pct"/>
          </w:tcPr>
          <w:p w:rsidR="00C865F2" w:rsidRPr="00E903C1" w:rsidRDefault="00C865F2" w:rsidP="007D13DB">
            <w:pPr>
              <w:pStyle w:val="ColorfulList-Accent12"/>
              <w:spacing w:line="240" w:lineRule="auto"/>
              <w:ind w:left="0"/>
              <w:rPr>
                <w:rFonts w:ascii="Arial" w:hAnsi="Arial" w:cs="Arial"/>
                <w:i/>
                <w:sz w:val="20"/>
                <w:szCs w:val="20"/>
              </w:rPr>
            </w:pPr>
            <w:r w:rsidRPr="00E903C1">
              <w:rPr>
                <w:rFonts w:ascii="Arial" w:hAnsi="Arial" w:cs="Arial"/>
                <w:i/>
                <w:sz w:val="20"/>
                <w:szCs w:val="20"/>
              </w:rPr>
              <w:t>3 PCs</w:t>
            </w: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0.90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1.64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1.02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2.03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0.89 </w:t>
            </w:r>
          </w:p>
        </w:tc>
        <w:tc>
          <w:tcPr>
            <w:tcW w:w="474"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0.73 </w:t>
            </w:r>
          </w:p>
        </w:tc>
      </w:tr>
      <w:tr w:rsidR="00C865F2" w:rsidRPr="00B50F02" w:rsidTr="007D13DB">
        <w:tc>
          <w:tcPr>
            <w:tcW w:w="985" w:type="pct"/>
          </w:tcPr>
          <w:p w:rsidR="00C865F2" w:rsidRPr="000D030F" w:rsidRDefault="00C865F2" w:rsidP="007D13DB">
            <w:pPr>
              <w:pStyle w:val="ColorfulList-Accent12"/>
              <w:spacing w:line="240" w:lineRule="auto"/>
              <w:ind w:left="0"/>
              <w:rPr>
                <w:rFonts w:ascii="Arial" w:hAnsi="Arial" w:cs="Arial"/>
                <w:sz w:val="20"/>
                <w:szCs w:val="20"/>
              </w:rPr>
            </w:pPr>
            <w:r w:rsidRPr="000D030F">
              <w:rPr>
                <w:rFonts w:ascii="Arial" w:hAnsi="Arial" w:cs="Arial"/>
                <w:sz w:val="20"/>
                <w:szCs w:val="20"/>
              </w:rPr>
              <w:t>Average</w:t>
            </w: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0.86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1.69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0.98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1.83 </w:t>
            </w:r>
          </w:p>
        </w:tc>
        <w:tc>
          <w:tcPr>
            <w:tcW w:w="503"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 xml:space="preserve">0.94 </w:t>
            </w:r>
          </w:p>
        </w:tc>
        <w:tc>
          <w:tcPr>
            <w:tcW w:w="474" w:type="pct"/>
          </w:tcPr>
          <w:p w:rsidR="00C865F2" w:rsidRPr="001E0EA6" w:rsidRDefault="00C865F2" w:rsidP="007D13DB">
            <w:pPr>
              <w:pStyle w:val="ColorfulList-Accent12"/>
              <w:ind w:left="0"/>
              <w:jc w:val="center"/>
              <w:rPr>
                <w:rFonts w:ascii="Arial" w:hAnsi="Arial" w:cs="Arial"/>
                <w:sz w:val="20"/>
                <w:szCs w:val="20"/>
              </w:rPr>
            </w:pPr>
            <w:r w:rsidRPr="001E0EA6">
              <w:rPr>
                <w:rFonts w:ascii="Arial" w:hAnsi="Arial" w:cs="Arial"/>
                <w:sz w:val="20"/>
                <w:szCs w:val="20"/>
              </w:rPr>
              <w:t>0.69</w:t>
            </w:r>
          </w:p>
        </w:tc>
      </w:tr>
      <w:tr w:rsidR="00C865F2" w:rsidRPr="00B50F02" w:rsidTr="007D13DB">
        <w:tc>
          <w:tcPr>
            <w:tcW w:w="985" w:type="pct"/>
          </w:tcPr>
          <w:p w:rsidR="00C865F2" w:rsidRPr="000D030F" w:rsidRDefault="00C865F2" w:rsidP="007D13DB">
            <w:pPr>
              <w:pStyle w:val="ColorfulList-Accent12"/>
              <w:spacing w:line="240" w:lineRule="auto"/>
              <w:ind w:left="0"/>
              <w:rPr>
                <w:rFonts w:ascii="Arial" w:hAnsi="Arial" w:cs="Arial"/>
                <w:sz w:val="20"/>
                <w:szCs w:val="20"/>
              </w:rPr>
            </w:pP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03" w:type="pct"/>
          </w:tcPr>
          <w:p w:rsidR="00C865F2" w:rsidRDefault="00C865F2" w:rsidP="007D13DB">
            <w:pPr>
              <w:jc w:val="center"/>
              <w:rPr>
                <w:rFonts w:ascii="Arial" w:hAnsi="Arial" w:cs="Arial"/>
                <w:sz w:val="20"/>
                <w:szCs w:val="20"/>
              </w:rPr>
            </w:pPr>
          </w:p>
        </w:tc>
        <w:tc>
          <w:tcPr>
            <w:tcW w:w="503" w:type="pct"/>
          </w:tcPr>
          <w:p w:rsidR="00C865F2" w:rsidRDefault="00C865F2" w:rsidP="007D13DB">
            <w:pPr>
              <w:jc w:val="center"/>
              <w:rPr>
                <w:rFonts w:ascii="Arial" w:hAnsi="Arial" w:cs="Arial"/>
                <w:sz w:val="20"/>
                <w:szCs w:val="20"/>
              </w:rPr>
            </w:pPr>
          </w:p>
        </w:tc>
        <w:tc>
          <w:tcPr>
            <w:tcW w:w="503" w:type="pct"/>
          </w:tcPr>
          <w:p w:rsidR="00C865F2" w:rsidRDefault="00C865F2" w:rsidP="007D13DB">
            <w:pPr>
              <w:jc w:val="center"/>
              <w:rPr>
                <w:rFonts w:ascii="Arial" w:hAnsi="Arial" w:cs="Arial"/>
                <w:sz w:val="20"/>
                <w:szCs w:val="20"/>
              </w:rPr>
            </w:pPr>
          </w:p>
        </w:tc>
        <w:tc>
          <w:tcPr>
            <w:tcW w:w="503" w:type="pct"/>
          </w:tcPr>
          <w:p w:rsidR="00C865F2" w:rsidRDefault="00C865F2" w:rsidP="007D13DB">
            <w:pPr>
              <w:jc w:val="center"/>
              <w:rPr>
                <w:rFonts w:ascii="Arial" w:hAnsi="Arial" w:cs="Arial"/>
                <w:sz w:val="20"/>
                <w:szCs w:val="20"/>
              </w:rPr>
            </w:pPr>
          </w:p>
        </w:tc>
        <w:tc>
          <w:tcPr>
            <w:tcW w:w="503" w:type="pct"/>
          </w:tcPr>
          <w:p w:rsidR="00C865F2" w:rsidRDefault="00C865F2" w:rsidP="007D13DB">
            <w:pPr>
              <w:jc w:val="center"/>
              <w:rPr>
                <w:rFonts w:ascii="Arial" w:hAnsi="Arial" w:cs="Arial"/>
                <w:sz w:val="20"/>
                <w:szCs w:val="20"/>
              </w:rPr>
            </w:pPr>
          </w:p>
        </w:tc>
        <w:tc>
          <w:tcPr>
            <w:tcW w:w="474" w:type="pct"/>
          </w:tcPr>
          <w:p w:rsidR="00C865F2" w:rsidRDefault="00C865F2" w:rsidP="007D13DB">
            <w:pPr>
              <w:jc w:val="center"/>
              <w:rPr>
                <w:rFonts w:ascii="Arial" w:hAnsi="Arial" w:cs="Arial"/>
                <w:sz w:val="20"/>
                <w:szCs w:val="20"/>
              </w:rPr>
            </w:pPr>
          </w:p>
        </w:tc>
      </w:tr>
      <w:tr w:rsidR="00C865F2" w:rsidRPr="00B50F02" w:rsidTr="007D13DB">
        <w:trPr>
          <w:trHeight w:hRule="exact" w:val="577"/>
        </w:trPr>
        <w:tc>
          <w:tcPr>
            <w:tcW w:w="985" w:type="pct"/>
          </w:tcPr>
          <w:p w:rsidR="00C865F2" w:rsidRDefault="00C865F2" w:rsidP="007D13DB">
            <w:pPr>
              <w:pStyle w:val="ColorfulList-Accent12"/>
              <w:spacing w:line="240" w:lineRule="auto"/>
              <w:ind w:left="0"/>
              <w:rPr>
                <w:rFonts w:ascii="Arial" w:hAnsi="Arial" w:cs="Arial"/>
                <w:sz w:val="20"/>
                <w:szCs w:val="20"/>
              </w:rPr>
            </w:pPr>
            <w:r w:rsidRPr="002E232D">
              <w:rPr>
                <w:rFonts w:ascii="Arial" w:hAnsi="Arial" w:cs="Arial"/>
                <w:sz w:val="20"/>
                <w:szCs w:val="20"/>
              </w:rPr>
              <w:t xml:space="preserve">AR </w:t>
            </w:r>
            <w:r>
              <w:rPr>
                <w:rFonts w:ascii="Arial" w:hAnsi="Arial" w:cs="Arial"/>
                <w:sz w:val="20"/>
                <w:szCs w:val="20"/>
              </w:rPr>
              <w:t xml:space="preserve">Model RMSE </w:t>
            </w:r>
            <w:r w:rsidRPr="002E232D">
              <w:rPr>
                <w:rFonts w:ascii="Arial" w:hAnsi="Arial" w:cs="Arial"/>
                <w:sz w:val="20"/>
                <w:szCs w:val="20"/>
              </w:rPr>
              <w:t>Avg (Tab 3.</w:t>
            </w:r>
            <w:r>
              <w:rPr>
                <w:rFonts w:ascii="Arial" w:hAnsi="Arial" w:cs="Arial"/>
                <w:sz w:val="20"/>
                <w:szCs w:val="20"/>
              </w:rPr>
              <w:t xml:space="preserve">2)  </w:t>
            </w:r>
          </w:p>
          <w:p w:rsidR="00C865F2" w:rsidRDefault="00C865F2" w:rsidP="007D13DB">
            <w:pPr>
              <w:pStyle w:val="ColorfulList-Accent12"/>
              <w:spacing w:line="240" w:lineRule="auto"/>
              <w:ind w:left="0"/>
              <w:rPr>
                <w:rFonts w:ascii="Arial" w:hAnsi="Arial" w:cs="Arial"/>
                <w:sz w:val="20"/>
                <w:szCs w:val="20"/>
              </w:rPr>
            </w:pPr>
          </w:p>
        </w:tc>
        <w:tc>
          <w:tcPr>
            <w:tcW w:w="513" w:type="pct"/>
          </w:tcPr>
          <w:p w:rsidR="00C865F2" w:rsidRDefault="00C865F2" w:rsidP="007D13DB">
            <w:pPr>
              <w:jc w:val="center"/>
              <w:rPr>
                <w:rFonts w:ascii="Arial" w:hAnsi="Arial" w:cs="Arial"/>
                <w:sz w:val="20"/>
                <w:szCs w:val="20"/>
              </w:rPr>
            </w:pPr>
            <w:r>
              <w:rPr>
                <w:rFonts w:ascii="Arial" w:hAnsi="Arial" w:cs="Arial"/>
                <w:sz w:val="20"/>
                <w:szCs w:val="20"/>
              </w:rPr>
              <w:t>3.86</w:t>
            </w:r>
          </w:p>
        </w:tc>
        <w:tc>
          <w:tcPr>
            <w:tcW w:w="513" w:type="pct"/>
          </w:tcPr>
          <w:p w:rsidR="00C865F2" w:rsidRDefault="00C865F2" w:rsidP="007D13DB">
            <w:pPr>
              <w:jc w:val="center"/>
              <w:rPr>
                <w:rFonts w:ascii="Arial" w:hAnsi="Arial" w:cs="Arial"/>
                <w:sz w:val="20"/>
                <w:szCs w:val="20"/>
              </w:rPr>
            </w:pPr>
            <w:r>
              <w:rPr>
                <w:rFonts w:ascii="Arial" w:hAnsi="Arial" w:cs="Arial"/>
                <w:sz w:val="20"/>
                <w:szCs w:val="20"/>
              </w:rPr>
              <w:t>2.77</w:t>
            </w:r>
          </w:p>
        </w:tc>
        <w:tc>
          <w:tcPr>
            <w:tcW w:w="503" w:type="pct"/>
          </w:tcPr>
          <w:p w:rsidR="00C865F2" w:rsidRDefault="00C865F2" w:rsidP="007D13DB">
            <w:pPr>
              <w:jc w:val="center"/>
              <w:rPr>
                <w:rFonts w:ascii="Arial" w:hAnsi="Arial" w:cs="Arial"/>
                <w:sz w:val="20"/>
                <w:szCs w:val="20"/>
              </w:rPr>
            </w:pPr>
            <w:r>
              <w:rPr>
                <w:rFonts w:ascii="Arial" w:hAnsi="Arial" w:cs="Arial"/>
                <w:sz w:val="20"/>
                <w:szCs w:val="20"/>
              </w:rPr>
              <w:t>3.38</w:t>
            </w:r>
          </w:p>
        </w:tc>
        <w:tc>
          <w:tcPr>
            <w:tcW w:w="503" w:type="pct"/>
          </w:tcPr>
          <w:p w:rsidR="00C865F2" w:rsidRDefault="00C865F2" w:rsidP="007D13DB">
            <w:pPr>
              <w:jc w:val="center"/>
              <w:rPr>
                <w:rFonts w:ascii="Arial" w:hAnsi="Arial" w:cs="Arial"/>
                <w:sz w:val="20"/>
                <w:szCs w:val="20"/>
              </w:rPr>
            </w:pPr>
            <w:r>
              <w:rPr>
                <w:rFonts w:ascii="Arial" w:hAnsi="Arial" w:cs="Arial"/>
                <w:sz w:val="20"/>
                <w:szCs w:val="20"/>
              </w:rPr>
              <w:t>1.03</w:t>
            </w:r>
          </w:p>
        </w:tc>
        <w:tc>
          <w:tcPr>
            <w:tcW w:w="503" w:type="pct"/>
          </w:tcPr>
          <w:p w:rsidR="00C865F2" w:rsidRDefault="00C865F2" w:rsidP="007D13DB">
            <w:pPr>
              <w:jc w:val="center"/>
              <w:rPr>
                <w:rFonts w:ascii="Arial" w:hAnsi="Arial" w:cs="Arial"/>
                <w:sz w:val="20"/>
                <w:szCs w:val="20"/>
              </w:rPr>
            </w:pPr>
            <w:r>
              <w:rPr>
                <w:rFonts w:ascii="Arial" w:hAnsi="Arial" w:cs="Arial"/>
                <w:sz w:val="20"/>
                <w:szCs w:val="20"/>
              </w:rPr>
              <w:t>1.69</w:t>
            </w:r>
          </w:p>
        </w:tc>
        <w:tc>
          <w:tcPr>
            <w:tcW w:w="503" w:type="pct"/>
          </w:tcPr>
          <w:p w:rsidR="00C865F2" w:rsidRDefault="00C865F2" w:rsidP="007D13DB">
            <w:pPr>
              <w:jc w:val="center"/>
              <w:rPr>
                <w:rFonts w:ascii="Arial" w:hAnsi="Arial" w:cs="Arial"/>
                <w:sz w:val="20"/>
                <w:szCs w:val="20"/>
              </w:rPr>
            </w:pPr>
            <w:r>
              <w:rPr>
                <w:rFonts w:ascii="Arial" w:hAnsi="Arial" w:cs="Arial"/>
                <w:sz w:val="20"/>
                <w:szCs w:val="20"/>
              </w:rPr>
              <w:t>1.02</w:t>
            </w:r>
          </w:p>
        </w:tc>
        <w:tc>
          <w:tcPr>
            <w:tcW w:w="503" w:type="pct"/>
          </w:tcPr>
          <w:p w:rsidR="00C865F2" w:rsidRDefault="00C865F2" w:rsidP="007D13DB">
            <w:pPr>
              <w:jc w:val="center"/>
              <w:rPr>
                <w:rFonts w:ascii="Arial" w:hAnsi="Arial" w:cs="Arial"/>
                <w:sz w:val="20"/>
                <w:szCs w:val="20"/>
              </w:rPr>
            </w:pPr>
            <w:r>
              <w:rPr>
                <w:rFonts w:ascii="Arial" w:hAnsi="Arial" w:cs="Arial"/>
                <w:sz w:val="20"/>
                <w:szCs w:val="20"/>
              </w:rPr>
              <w:t>1.64</w:t>
            </w:r>
          </w:p>
        </w:tc>
        <w:tc>
          <w:tcPr>
            <w:tcW w:w="474" w:type="pct"/>
          </w:tcPr>
          <w:p w:rsidR="00C865F2" w:rsidRDefault="00C865F2" w:rsidP="007D13DB">
            <w:pPr>
              <w:jc w:val="center"/>
              <w:rPr>
                <w:rFonts w:ascii="Arial" w:hAnsi="Arial" w:cs="Arial"/>
                <w:sz w:val="20"/>
                <w:szCs w:val="20"/>
              </w:rPr>
            </w:pPr>
            <w:r>
              <w:rPr>
                <w:rFonts w:ascii="Arial" w:hAnsi="Arial" w:cs="Arial"/>
                <w:sz w:val="20"/>
                <w:szCs w:val="20"/>
              </w:rPr>
              <w:t>3.05</w:t>
            </w:r>
          </w:p>
        </w:tc>
      </w:tr>
      <w:tr w:rsidR="00C865F2" w:rsidRPr="00B50F02" w:rsidTr="007D13DB">
        <w:trPr>
          <w:trHeight w:hRule="exact" w:val="244"/>
        </w:trPr>
        <w:tc>
          <w:tcPr>
            <w:tcW w:w="985" w:type="pct"/>
          </w:tcPr>
          <w:p w:rsidR="00C865F2" w:rsidRPr="000D030F" w:rsidRDefault="00C865F2" w:rsidP="007D13DB">
            <w:pPr>
              <w:pStyle w:val="ColorfulList-Accent12"/>
              <w:spacing w:line="240" w:lineRule="auto"/>
              <w:ind w:left="0"/>
              <w:rPr>
                <w:rFonts w:ascii="Arial" w:hAnsi="Arial" w:cs="Arial"/>
                <w:sz w:val="20"/>
                <w:szCs w:val="20"/>
              </w:rPr>
            </w:pPr>
            <w:r>
              <w:rPr>
                <w:rFonts w:ascii="Arial" w:hAnsi="Arial" w:cs="Arial"/>
                <w:sz w:val="20"/>
                <w:szCs w:val="20"/>
              </w:rPr>
              <w:t>SP500 (Tab.</w:t>
            </w:r>
            <w:r w:rsidRPr="000D030F">
              <w:rPr>
                <w:rFonts w:ascii="Arial" w:hAnsi="Arial" w:cs="Arial"/>
                <w:sz w:val="20"/>
                <w:szCs w:val="20"/>
              </w:rPr>
              <w:t xml:space="preserve"> </w:t>
            </w:r>
            <w:r>
              <w:rPr>
                <w:rFonts w:ascii="Arial" w:hAnsi="Arial" w:cs="Arial"/>
                <w:sz w:val="20"/>
                <w:szCs w:val="20"/>
              </w:rPr>
              <w:t>3.</w:t>
            </w:r>
            <w:r w:rsidRPr="000D030F">
              <w:rPr>
                <w:rFonts w:ascii="Arial" w:hAnsi="Arial" w:cs="Arial"/>
                <w:sz w:val="20"/>
                <w:szCs w:val="20"/>
              </w:rPr>
              <w:t>2</w:t>
            </w:r>
            <w:r>
              <w:rPr>
                <w:rFonts w:ascii="Arial" w:hAnsi="Arial" w:cs="Arial"/>
                <w:sz w:val="20"/>
                <w:szCs w:val="20"/>
              </w:rPr>
              <w:t>)</w:t>
            </w:r>
            <w:r w:rsidRPr="000D030F">
              <w:rPr>
                <w:rFonts w:ascii="Arial" w:hAnsi="Arial" w:cs="Arial"/>
                <w:sz w:val="20"/>
                <w:szCs w:val="20"/>
              </w:rPr>
              <w:t xml:space="preserve"> </w:t>
            </w:r>
          </w:p>
        </w:tc>
        <w:tc>
          <w:tcPr>
            <w:tcW w:w="51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0.74</w:t>
            </w:r>
          </w:p>
        </w:tc>
        <w:tc>
          <w:tcPr>
            <w:tcW w:w="51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1.06</w:t>
            </w: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0.88</w:t>
            </w: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1.88</w:t>
            </w: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1.00</w:t>
            </w: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1.18</w:t>
            </w: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0.87</w:t>
            </w:r>
          </w:p>
        </w:tc>
        <w:tc>
          <w:tcPr>
            <w:tcW w:w="474"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0.84</w:t>
            </w:r>
          </w:p>
        </w:tc>
      </w:tr>
      <w:tr w:rsidR="00C865F2" w:rsidRPr="00B50F02" w:rsidTr="007D13DB">
        <w:trPr>
          <w:trHeight w:hRule="exact" w:val="271"/>
        </w:trPr>
        <w:tc>
          <w:tcPr>
            <w:tcW w:w="985" w:type="pct"/>
          </w:tcPr>
          <w:p w:rsidR="00C865F2" w:rsidRPr="000D030F" w:rsidRDefault="00C865F2" w:rsidP="007D13DB">
            <w:pPr>
              <w:pStyle w:val="ColorfulList-Accent12"/>
              <w:spacing w:line="240" w:lineRule="auto"/>
              <w:ind w:left="0"/>
              <w:rPr>
                <w:rFonts w:ascii="Arial" w:hAnsi="Arial" w:cs="Arial"/>
                <w:sz w:val="20"/>
                <w:szCs w:val="20"/>
              </w:rPr>
            </w:pPr>
            <w:r w:rsidRPr="000D030F">
              <w:rPr>
                <w:rFonts w:ascii="Arial" w:hAnsi="Arial" w:cs="Arial"/>
                <w:sz w:val="20"/>
                <w:szCs w:val="20"/>
              </w:rPr>
              <w:t xml:space="preserve">KCFSI </w:t>
            </w:r>
            <w:r>
              <w:rPr>
                <w:rFonts w:ascii="Arial" w:hAnsi="Arial" w:cs="Arial"/>
                <w:sz w:val="20"/>
                <w:szCs w:val="20"/>
              </w:rPr>
              <w:t>(Tab.</w:t>
            </w:r>
            <w:r w:rsidRPr="000D030F">
              <w:rPr>
                <w:rFonts w:ascii="Arial" w:hAnsi="Arial" w:cs="Arial"/>
                <w:sz w:val="20"/>
                <w:szCs w:val="20"/>
              </w:rPr>
              <w:t xml:space="preserve"> </w:t>
            </w:r>
            <w:r>
              <w:rPr>
                <w:rFonts w:ascii="Arial" w:hAnsi="Arial" w:cs="Arial"/>
                <w:sz w:val="20"/>
                <w:szCs w:val="20"/>
              </w:rPr>
              <w:t>3.</w:t>
            </w:r>
            <w:r w:rsidRPr="000D030F">
              <w:rPr>
                <w:rFonts w:ascii="Arial" w:hAnsi="Arial" w:cs="Arial"/>
                <w:sz w:val="20"/>
                <w:szCs w:val="20"/>
              </w:rPr>
              <w:t>3</w:t>
            </w:r>
            <w:r>
              <w:rPr>
                <w:rFonts w:ascii="Arial" w:hAnsi="Arial" w:cs="Arial"/>
                <w:sz w:val="20"/>
                <w:szCs w:val="20"/>
              </w:rPr>
              <w:t>)</w:t>
            </w: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03" w:type="pct"/>
          </w:tcPr>
          <w:p w:rsidR="00C865F2" w:rsidRPr="000D030F" w:rsidRDefault="00C865F2" w:rsidP="007D13DB">
            <w:pPr>
              <w:pStyle w:val="ColorfulList-Accent12"/>
              <w:spacing w:line="240" w:lineRule="auto"/>
              <w:ind w:left="0"/>
              <w:jc w:val="center"/>
              <w:rPr>
                <w:rFonts w:ascii="Arial" w:hAnsi="Arial" w:cs="Arial"/>
                <w:sz w:val="20"/>
                <w:szCs w:val="20"/>
              </w:rPr>
            </w:pPr>
          </w:p>
        </w:tc>
        <w:tc>
          <w:tcPr>
            <w:tcW w:w="503" w:type="pct"/>
          </w:tcPr>
          <w:p w:rsidR="00C865F2" w:rsidRPr="000D030F" w:rsidRDefault="00C865F2" w:rsidP="007D13DB">
            <w:pPr>
              <w:pStyle w:val="ColorfulList-Accent12"/>
              <w:spacing w:line="240" w:lineRule="auto"/>
              <w:ind w:left="0"/>
              <w:jc w:val="center"/>
              <w:rPr>
                <w:rFonts w:ascii="Arial" w:hAnsi="Arial" w:cs="Arial"/>
                <w:sz w:val="20"/>
                <w:szCs w:val="20"/>
              </w:rPr>
            </w:pPr>
          </w:p>
        </w:tc>
        <w:tc>
          <w:tcPr>
            <w:tcW w:w="503" w:type="pct"/>
          </w:tcPr>
          <w:p w:rsidR="00C865F2" w:rsidRPr="000D030F" w:rsidRDefault="00C865F2" w:rsidP="007D13DB">
            <w:pPr>
              <w:pStyle w:val="ColorfulList-Accent12"/>
              <w:spacing w:line="240" w:lineRule="auto"/>
              <w:ind w:left="0"/>
              <w:jc w:val="center"/>
              <w:rPr>
                <w:rFonts w:ascii="Arial" w:hAnsi="Arial" w:cs="Arial"/>
                <w:sz w:val="20"/>
                <w:szCs w:val="20"/>
              </w:rPr>
            </w:pPr>
          </w:p>
        </w:tc>
        <w:tc>
          <w:tcPr>
            <w:tcW w:w="503" w:type="pct"/>
          </w:tcPr>
          <w:p w:rsidR="00C865F2" w:rsidRPr="000D030F" w:rsidRDefault="00C865F2" w:rsidP="007D13DB">
            <w:pPr>
              <w:pStyle w:val="ColorfulList-Accent12"/>
              <w:spacing w:line="240" w:lineRule="auto"/>
              <w:ind w:left="0"/>
              <w:jc w:val="center"/>
              <w:rPr>
                <w:rFonts w:ascii="Arial" w:hAnsi="Arial" w:cs="Arial"/>
                <w:sz w:val="20"/>
                <w:szCs w:val="20"/>
              </w:rPr>
            </w:pP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0.95</w:t>
            </w:r>
          </w:p>
        </w:tc>
        <w:tc>
          <w:tcPr>
            <w:tcW w:w="474"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1.00</w:t>
            </w:r>
          </w:p>
        </w:tc>
      </w:tr>
      <w:tr w:rsidR="00C865F2" w:rsidRPr="00B50F02" w:rsidTr="007D13DB">
        <w:trPr>
          <w:trHeight w:val="251"/>
        </w:trPr>
        <w:tc>
          <w:tcPr>
            <w:tcW w:w="985" w:type="pct"/>
          </w:tcPr>
          <w:p w:rsidR="00C865F2" w:rsidRPr="000D030F" w:rsidRDefault="00C865F2" w:rsidP="007D13DB">
            <w:pPr>
              <w:pStyle w:val="ColorfulList-Accent12"/>
              <w:spacing w:line="240" w:lineRule="auto"/>
              <w:ind w:left="0"/>
              <w:rPr>
                <w:rFonts w:ascii="Arial" w:hAnsi="Arial" w:cs="Arial"/>
                <w:sz w:val="20"/>
                <w:szCs w:val="20"/>
              </w:rPr>
            </w:pPr>
            <w:r>
              <w:rPr>
                <w:rFonts w:ascii="Arial" w:hAnsi="Arial" w:cs="Arial"/>
                <w:sz w:val="20"/>
                <w:szCs w:val="20"/>
              </w:rPr>
              <w:t>Avg</w:t>
            </w:r>
            <w:r w:rsidRPr="000D030F">
              <w:rPr>
                <w:rFonts w:ascii="Arial" w:hAnsi="Arial" w:cs="Arial"/>
                <w:sz w:val="20"/>
                <w:szCs w:val="20"/>
              </w:rPr>
              <w:t xml:space="preserve"> </w:t>
            </w:r>
            <w:r>
              <w:rPr>
                <w:rFonts w:ascii="Arial" w:hAnsi="Arial" w:cs="Arial"/>
                <w:sz w:val="20"/>
                <w:szCs w:val="20"/>
              </w:rPr>
              <w:t>(Tab. 3.</w:t>
            </w:r>
            <w:r w:rsidRPr="000D030F">
              <w:rPr>
                <w:rFonts w:ascii="Arial" w:hAnsi="Arial" w:cs="Arial"/>
                <w:sz w:val="20"/>
                <w:szCs w:val="20"/>
              </w:rPr>
              <w:t>2</w:t>
            </w:r>
            <w:r>
              <w:rPr>
                <w:rFonts w:ascii="Arial" w:hAnsi="Arial" w:cs="Arial"/>
                <w:sz w:val="20"/>
                <w:szCs w:val="20"/>
              </w:rPr>
              <w:t>)</w:t>
            </w:r>
          </w:p>
        </w:tc>
        <w:tc>
          <w:tcPr>
            <w:tcW w:w="513" w:type="pct"/>
          </w:tcPr>
          <w:p w:rsidR="00C865F2" w:rsidRPr="004C7408" w:rsidRDefault="00C865F2" w:rsidP="007D13DB">
            <w:pPr>
              <w:jc w:val="center"/>
              <w:rPr>
                <w:rFonts w:ascii="Arial" w:hAnsi="Arial" w:cs="Arial"/>
                <w:sz w:val="20"/>
                <w:szCs w:val="20"/>
              </w:rPr>
            </w:pPr>
            <w:r>
              <w:rPr>
                <w:rFonts w:ascii="Arial" w:hAnsi="Arial" w:cs="Arial"/>
                <w:sz w:val="20"/>
                <w:szCs w:val="20"/>
              </w:rPr>
              <w:t>0.81</w:t>
            </w:r>
          </w:p>
        </w:tc>
        <w:tc>
          <w:tcPr>
            <w:tcW w:w="513" w:type="pct"/>
          </w:tcPr>
          <w:p w:rsidR="00C865F2" w:rsidRPr="004C7408" w:rsidRDefault="00C865F2" w:rsidP="007D13DB">
            <w:pPr>
              <w:jc w:val="center"/>
              <w:rPr>
                <w:rFonts w:ascii="Arial" w:hAnsi="Arial" w:cs="Arial"/>
                <w:sz w:val="20"/>
                <w:szCs w:val="20"/>
              </w:rPr>
            </w:pPr>
            <w:r>
              <w:rPr>
                <w:rFonts w:ascii="Arial" w:hAnsi="Arial" w:cs="Arial"/>
                <w:sz w:val="20"/>
                <w:szCs w:val="20"/>
              </w:rPr>
              <w:t>0.91</w:t>
            </w:r>
          </w:p>
        </w:tc>
        <w:tc>
          <w:tcPr>
            <w:tcW w:w="503" w:type="pct"/>
          </w:tcPr>
          <w:p w:rsidR="00C865F2" w:rsidRPr="004C7408" w:rsidRDefault="00C865F2" w:rsidP="007D13DB">
            <w:pPr>
              <w:jc w:val="center"/>
              <w:rPr>
                <w:rFonts w:ascii="Arial" w:hAnsi="Arial" w:cs="Arial"/>
                <w:sz w:val="20"/>
                <w:szCs w:val="20"/>
              </w:rPr>
            </w:pPr>
            <w:r>
              <w:rPr>
                <w:rFonts w:ascii="Arial" w:hAnsi="Arial" w:cs="Arial"/>
                <w:sz w:val="20"/>
                <w:szCs w:val="20"/>
              </w:rPr>
              <w:t>0.92</w:t>
            </w:r>
          </w:p>
        </w:tc>
        <w:tc>
          <w:tcPr>
            <w:tcW w:w="503" w:type="pct"/>
          </w:tcPr>
          <w:p w:rsidR="00C865F2" w:rsidRPr="004C7408" w:rsidRDefault="00C865F2" w:rsidP="007D13DB">
            <w:pPr>
              <w:jc w:val="center"/>
              <w:rPr>
                <w:rFonts w:ascii="Arial" w:hAnsi="Arial" w:cs="Arial"/>
                <w:sz w:val="20"/>
                <w:szCs w:val="20"/>
              </w:rPr>
            </w:pPr>
            <w:r>
              <w:rPr>
                <w:rFonts w:ascii="Arial" w:hAnsi="Arial" w:cs="Arial"/>
                <w:sz w:val="20"/>
                <w:szCs w:val="20"/>
              </w:rPr>
              <w:t>1.65</w:t>
            </w:r>
          </w:p>
        </w:tc>
        <w:tc>
          <w:tcPr>
            <w:tcW w:w="503" w:type="pct"/>
          </w:tcPr>
          <w:p w:rsidR="00C865F2" w:rsidRPr="004C7408" w:rsidRDefault="00C865F2" w:rsidP="007D13DB">
            <w:pPr>
              <w:jc w:val="center"/>
              <w:rPr>
                <w:rFonts w:ascii="Arial" w:hAnsi="Arial" w:cs="Arial"/>
                <w:sz w:val="20"/>
                <w:szCs w:val="20"/>
              </w:rPr>
            </w:pPr>
            <w:r>
              <w:rPr>
                <w:rFonts w:ascii="Arial" w:hAnsi="Arial" w:cs="Arial"/>
                <w:sz w:val="20"/>
                <w:szCs w:val="20"/>
              </w:rPr>
              <w:t>1.19</w:t>
            </w:r>
          </w:p>
        </w:tc>
        <w:tc>
          <w:tcPr>
            <w:tcW w:w="503" w:type="pct"/>
          </w:tcPr>
          <w:p w:rsidR="00C865F2" w:rsidRPr="004C7408" w:rsidRDefault="00C865F2" w:rsidP="007D13DB">
            <w:pPr>
              <w:jc w:val="center"/>
              <w:rPr>
                <w:rFonts w:ascii="Arial" w:hAnsi="Arial" w:cs="Arial"/>
                <w:sz w:val="20"/>
                <w:szCs w:val="20"/>
              </w:rPr>
            </w:pPr>
            <w:r>
              <w:rPr>
                <w:rFonts w:ascii="Arial" w:hAnsi="Arial" w:cs="Arial"/>
                <w:sz w:val="20"/>
                <w:szCs w:val="20"/>
              </w:rPr>
              <w:t>1.12</w:t>
            </w:r>
          </w:p>
        </w:tc>
        <w:tc>
          <w:tcPr>
            <w:tcW w:w="503" w:type="pct"/>
          </w:tcPr>
          <w:p w:rsidR="00C865F2" w:rsidRPr="004C7408" w:rsidRDefault="00C865F2" w:rsidP="007D13DB">
            <w:pPr>
              <w:jc w:val="center"/>
              <w:rPr>
                <w:rFonts w:ascii="Arial" w:hAnsi="Arial" w:cs="Arial"/>
                <w:sz w:val="20"/>
                <w:szCs w:val="20"/>
              </w:rPr>
            </w:pPr>
            <w:r>
              <w:rPr>
                <w:rFonts w:ascii="Arial" w:hAnsi="Arial" w:cs="Arial"/>
                <w:sz w:val="20"/>
                <w:szCs w:val="20"/>
              </w:rPr>
              <w:t>1.17</w:t>
            </w:r>
          </w:p>
        </w:tc>
        <w:tc>
          <w:tcPr>
            <w:tcW w:w="474" w:type="pct"/>
          </w:tcPr>
          <w:p w:rsidR="00C865F2" w:rsidRPr="004C7408" w:rsidRDefault="00C865F2" w:rsidP="007D13DB">
            <w:pPr>
              <w:jc w:val="center"/>
              <w:rPr>
                <w:rFonts w:ascii="Arial" w:hAnsi="Arial" w:cs="Arial"/>
                <w:sz w:val="20"/>
                <w:szCs w:val="20"/>
              </w:rPr>
            </w:pPr>
            <w:r>
              <w:rPr>
                <w:rFonts w:ascii="Arial" w:hAnsi="Arial" w:cs="Arial"/>
                <w:sz w:val="20"/>
                <w:szCs w:val="20"/>
              </w:rPr>
              <w:t>1.02</w:t>
            </w:r>
          </w:p>
        </w:tc>
      </w:tr>
      <w:tr w:rsidR="00C865F2" w:rsidRPr="00B50F02" w:rsidTr="007D13DB">
        <w:tc>
          <w:tcPr>
            <w:tcW w:w="985" w:type="pct"/>
          </w:tcPr>
          <w:p w:rsidR="00C865F2" w:rsidRPr="000D030F" w:rsidRDefault="00C865F2" w:rsidP="007D13DB">
            <w:pPr>
              <w:pStyle w:val="ColorfulList-Accent12"/>
              <w:spacing w:line="240" w:lineRule="auto"/>
              <w:ind w:left="0"/>
              <w:rPr>
                <w:rFonts w:ascii="Arial" w:hAnsi="Arial" w:cs="Arial"/>
                <w:sz w:val="20"/>
                <w:szCs w:val="20"/>
              </w:rPr>
            </w:pPr>
            <w:r>
              <w:rPr>
                <w:rFonts w:ascii="Arial" w:hAnsi="Arial" w:cs="Arial"/>
                <w:sz w:val="20"/>
                <w:szCs w:val="20"/>
              </w:rPr>
              <w:t>Avg (Tab.</w:t>
            </w:r>
            <w:r w:rsidRPr="000D030F">
              <w:rPr>
                <w:rFonts w:ascii="Arial" w:hAnsi="Arial" w:cs="Arial"/>
                <w:sz w:val="20"/>
                <w:szCs w:val="20"/>
              </w:rPr>
              <w:t xml:space="preserve"> 3</w:t>
            </w:r>
            <w:r>
              <w:rPr>
                <w:rFonts w:ascii="Arial" w:hAnsi="Arial" w:cs="Arial"/>
                <w:sz w:val="20"/>
                <w:szCs w:val="20"/>
              </w:rPr>
              <w:t>.3)</w:t>
            </w: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13" w:type="pct"/>
          </w:tcPr>
          <w:p w:rsidR="00C865F2" w:rsidRPr="000D030F" w:rsidRDefault="00C865F2" w:rsidP="007D13DB">
            <w:pPr>
              <w:pStyle w:val="ColorfulList-Accent12"/>
              <w:spacing w:line="240" w:lineRule="auto"/>
              <w:ind w:left="0"/>
              <w:rPr>
                <w:rFonts w:ascii="Arial" w:hAnsi="Arial" w:cs="Arial"/>
                <w:sz w:val="20"/>
                <w:szCs w:val="20"/>
              </w:rPr>
            </w:pPr>
          </w:p>
        </w:tc>
        <w:tc>
          <w:tcPr>
            <w:tcW w:w="503" w:type="pct"/>
          </w:tcPr>
          <w:p w:rsidR="00C865F2" w:rsidRPr="000D030F" w:rsidRDefault="00C865F2" w:rsidP="007D13DB">
            <w:pPr>
              <w:pStyle w:val="ColorfulList-Accent12"/>
              <w:spacing w:line="240" w:lineRule="auto"/>
              <w:ind w:left="0"/>
              <w:jc w:val="center"/>
              <w:rPr>
                <w:rFonts w:ascii="Arial" w:hAnsi="Arial" w:cs="Arial"/>
                <w:sz w:val="20"/>
                <w:szCs w:val="20"/>
              </w:rPr>
            </w:pPr>
          </w:p>
        </w:tc>
        <w:tc>
          <w:tcPr>
            <w:tcW w:w="503" w:type="pct"/>
            <w:vAlign w:val="bottom"/>
          </w:tcPr>
          <w:p w:rsidR="00C865F2" w:rsidRPr="00DE651B" w:rsidRDefault="00C865F2" w:rsidP="007D13DB">
            <w:pPr>
              <w:jc w:val="center"/>
              <w:rPr>
                <w:rFonts w:ascii="Arial" w:hAnsi="Arial" w:cs="Arial"/>
                <w:sz w:val="20"/>
                <w:szCs w:val="20"/>
              </w:rPr>
            </w:pPr>
          </w:p>
        </w:tc>
        <w:tc>
          <w:tcPr>
            <w:tcW w:w="503" w:type="pct"/>
            <w:vAlign w:val="bottom"/>
          </w:tcPr>
          <w:p w:rsidR="00C865F2" w:rsidRPr="00DE651B" w:rsidRDefault="00C865F2" w:rsidP="007D13DB">
            <w:pPr>
              <w:jc w:val="center"/>
              <w:rPr>
                <w:rFonts w:ascii="Arial" w:hAnsi="Arial" w:cs="Arial"/>
                <w:sz w:val="20"/>
                <w:szCs w:val="20"/>
              </w:rPr>
            </w:pPr>
            <w:r>
              <w:rPr>
                <w:rFonts w:ascii="Arial" w:hAnsi="Arial" w:cs="Arial"/>
                <w:sz w:val="20"/>
                <w:szCs w:val="20"/>
              </w:rPr>
              <w:t>1.26</w:t>
            </w:r>
          </w:p>
        </w:tc>
        <w:tc>
          <w:tcPr>
            <w:tcW w:w="503" w:type="pct"/>
            <w:vAlign w:val="bottom"/>
          </w:tcPr>
          <w:p w:rsidR="00C865F2" w:rsidRPr="00DE651B" w:rsidRDefault="00C865F2" w:rsidP="007D13DB">
            <w:pPr>
              <w:jc w:val="center"/>
              <w:rPr>
                <w:rFonts w:ascii="Arial" w:hAnsi="Arial" w:cs="Arial"/>
                <w:sz w:val="20"/>
                <w:szCs w:val="20"/>
              </w:rPr>
            </w:pPr>
            <w:r>
              <w:rPr>
                <w:rFonts w:ascii="Arial" w:hAnsi="Arial" w:cs="Arial"/>
                <w:sz w:val="20"/>
                <w:szCs w:val="20"/>
              </w:rPr>
              <w:t>1.04</w:t>
            </w:r>
          </w:p>
        </w:tc>
        <w:tc>
          <w:tcPr>
            <w:tcW w:w="503" w:type="pct"/>
            <w:vAlign w:val="bottom"/>
          </w:tcPr>
          <w:p w:rsidR="00C865F2" w:rsidRPr="00DE651B" w:rsidRDefault="00C865F2" w:rsidP="007D13DB">
            <w:pPr>
              <w:jc w:val="center"/>
              <w:rPr>
                <w:rFonts w:ascii="Arial" w:hAnsi="Arial" w:cs="Arial"/>
                <w:sz w:val="20"/>
                <w:szCs w:val="20"/>
              </w:rPr>
            </w:pPr>
            <w:r>
              <w:rPr>
                <w:rFonts w:ascii="Arial" w:hAnsi="Arial" w:cs="Arial"/>
                <w:sz w:val="20"/>
                <w:szCs w:val="20"/>
              </w:rPr>
              <w:t>0.90</w:t>
            </w:r>
          </w:p>
        </w:tc>
        <w:tc>
          <w:tcPr>
            <w:tcW w:w="474" w:type="pct"/>
            <w:vAlign w:val="bottom"/>
          </w:tcPr>
          <w:p w:rsidR="00C865F2" w:rsidRPr="00DE651B" w:rsidRDefault="00C865F2" w:rsidP="007D13DB">
            <w:pPr>
              <w:jc w:val="center"/>
              <w:rPr>
                <w:rFonts w:ascii="Arial" w:hAnsi="Arial" w:cs="Arial"/>
                <w:sz w:val="20"/>
                <w:szCs w:val="20"/>
              </w:rPr>
            </w:pPr>
            <w:r w:rsidRPr="00DE651B">
              <w:rPr>
                <w:rFonts w:ascii="Arial" w:hAnsi="Arial" w:cs="Arial"/>
                <w:sz w:val="20"/>
                <w:szCs w:val="20"/>
              </w:rPr>
              <w:t>0.</w:t>
            </w:r>
            <w:r>
              <w:rPr>
                <w:rFonts w:ascii="Arial" w:hAnsi="Arial" w:cs="Arial"/>
                <w:sz w:val="20"/>
                <w:szCs w:val="20"/>
              </w:rPr>
              <w:t>95</w:t>
            </w:r>
          </w:p>
        </w:tc>
      </w:tr>
    </w:tbl>
    <w:p w:rsidR="00C865F2" w:rsidRDefault="00C865F2" w:rsidP="00C865F2">
      <w:pPr>
        <w:pStyle w:val="ColorfulList-Accent12"/>
        <w:jc w:val="center"/>
      </w:pPr>
    </w:p>
    <w:p w:rsidR="00C865F2" w:rsidRDefault="00C865F2" w:rsidP="00C865F2">
      <w:pPr>
        <w:pStyle w:val="ColorfulList-Accent12"/>
        <w:jc w:val="center"/>
      </w:pPr>
      <w:r>
        <w:t xml:space="preserve">(b) </w:t>
      </w:r>
      <w:r>
        <w:rPr>
          <w:i/>
        </w:rPr>
        <w:t xml:space="preserve">h </w:t>
      </w:r>
      <w:r>
        <w:t>=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5"/>
        <w:gridCol w:w="981"/>
        <w:gridCol w:w="981"/>
        <w:gridCol w:w="963"/>
        <w:gridCol w:w="963"/>
        <w:gridCol w:w="963"/>
        <w:gridCol w:w="963"/>
        <w:gridCol w:w="963"/>
        <w:gridCol w:w="914"/>
      </w:tblGrid>
      <w:tr w:rsidR="00C865F2" w:rsidRPr="00B50F02" w:rsidTr="007D13DB">
        <w:tc>
          <w:tcPr>
            <w:tcW w:w="984" w:type="pct"/>
          </w:tcPr>
          <w:p w:rsidR="00C865F2" w:rsidRPr="00B50F02" w:rsidRDefault="00C865F2" w:rsidP="007D13DB">
            <w:pPr>
              <w:rPr>
                <w:rFonts w:ascii="Arial" w:hAnsi="Arial" w:cs="Arial"/>
                <w:sz w:val="20"/>
                <w:szCs w:val="20"/>
              </w:rPr>
            </w:pPr>
            <w:r w:rsidRPr="00B50F02">
              <w:rPr>
                <w:rFonts w:ascii="Arial" w:hAnsi="Arial" w:cs="Arial"/>
                <w:sz w:val="20"/>
                <w:szCs w:val="20"/>
              </w:rPr>
              <w:t>FCI</w:t>
            </w:r>
          </w:p>
        </w:tc>
        <w:tc>
          <w:tcPr>
            <w:tcW w:w="512" w:type="pct"/>
          </w:tcPr>
          <w:p w:rsidR="00C865F2" w:rsidRPr="00B50F02" w:rsidRDefault="00C865F2" w:rsidP="007D13DB">
            <w:pPr>
              <w:rPr>
                <w:rFonts w:ascii="Arial" w:hAnsi="Arial" w:cs="Arial"/>
                <w:sz w:val="20"/>
                <w:szCs w:val="20"/>
              </w:rPr>
            </w:pPr>
            <w:r w:rsidRPr="00B50F02">
              <w:rPr>
                <w:rFonts w:ascii="Arial" w:hAnsi="Arial" w:cs="Arial"/>
                <w:sz w:val="20"/>
                <w:szCs w:val="20"/>
              </w:rPr>
              <w:t>1970.I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1974.IV  </w:t>
            </w:r>
          </w:p>
        </w:tc>
        <w:tc>
          <w:tcPr>
            <w:tcW w:w="512" w:type="pct"/>
          </w:tcPr>
          <w:p w:rsidR="00C865F2" w:rsidRPr="00B50F02" w:rsidRDefault="00C865F2" w:rsidP="007D13DB">
            <w:pPr>
              <w:rPr>
                <w:rFonts w:ascii="Arial" w:hAnsi="Arial" w:cs="Arial"/>
                <w:sz w:val="20"/>
                <w:szCs w:val="20"/>
              </w:rPr>
            </w:pPr>
            <w:r w:rsidRPr="00B50F02">
              <w:rPr>
                <w:rFonts w:ascii="Arial" w:hAnsi="Arial" w:cs="Arial"/>
                <w:sz w:val="20"/>
                <w:szCs w:val="20"/>
              </w:rPr>
              <w:t>1975.I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1979.IV  </w:t>
            </w:r>
          </w:p>
        </w:tc>
        <w:tc>
          <w:tcPr>
            <w:tcW w:w="503" w:type="pct"/>
          </w:tcPr>
          <w:p w:rsidR="00C865F2" w:rsidRPr="00B50F02" w:rsidRDefault="00C865F2" w:rsidP="007D13DB">
            <w:pPr>
              <w:rPr>
                <w:rFonts w:ascii="Arial" w:hAnsi="Arial" w:cs="Arial"/>
                <w:sz w:val="20"/>
                <w:szCs w:val="20"/>
              </w:rPr>
            </w:pPr>
            <w:r w:rsidRPr="00B50F02">
              <w:rPr>
                <w:rFonts w:ascii="Arial" w:hAnsi="Arial" w:cs="Arial"/>
                <w:sz w:val="20"/>
                <w:szCs w:val="20"/>
              </w:rPr>
              <w:t>1980.I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1984. IV  </w:t>
            </w:r>
          </w:p>
        </w:tc>
        <w:tc>
          <w:tcPr>
            <w:tcW w:w="503" w:type="pct"/>
          </w:tcPr>
          <w:p w:rsidR="00C865F2" w:rsidRPr="00B50F02" w:rsidRDefault="00C865F2" w:rsidP="007D13DB">
            <w:pPr>
              <w:rPr>
                <w:rFonts w:ascii="Arial" w:hAnsi="Arial" w:cs="Arial"/>
                <w:sz w:val="20"/>
                <w:szCs w:val="20"/>
              </w:rPr>
            </w:pPr>
            <w:r w:rsidRPr="00B50F02">
              <w:rPr>
                <w:rFonts w:ascii="Arial" w:hAnsi="Arial" w:cs="Arial"/>
                <w:sz w:val="20"/>
                <w:szCs w:val="20"/>
              </w:rPr>
              <w:t xml:space="preserve">1985.I -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1989. IV  </w:t>
            </w:r>
          </w:p>
        </w:tc>
        <w:tc>
          <w:tcPr>
            <w:tcW w:w="503" w:type="pct"/>
          </w:tcPr>
          <w:p w:rsidR="00C865F2" w:rsidRPr="00B50F02" w:rsidRDefault="00C865F2" w:rsidP="007D13DB">
            <w:pPr>
              <w:rPr>
                <w:rFonts w:ascii="Arial" w:hAnsi="Arial" w:cs="Arial"/>
                <w:sz w:val="20"/>
                <w:szCs w:val="20"/>
              </w:rPr>
            </w:pPr>
            <w:r w:rsidRPr="00B50F02">
              <w:rPr>
                <w:rFonts w:ascii="Arial" w:hAnsi="Arial" w:cs="Arial"/>
                <w:sz w:val="20"/>
                <w:szCs w:val="20"/>
              </w:rPr>
              <w:t xml:space="preserve">1990.I -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1994. IV </w:t>
            </w:r>
          </w:p>
        </w:tc>
        <w:tc>
          <w:tcPr>
            <w:tcW w:w="503" w:type="pct"/>
          </w:tcPr>
          <w:p w:rsidR="00C865F2" w:rsidRPr="00B50F02" w:rsidRDefault="00C865F2" w:rsidP="007D13DB">
            <w:pPr>
              <w:rPr>
                <w:rFonts w:ascii="Arial" w:hAnsi="Arial" w:cs="Arial"/>
                <w:sz w:val="20"/>
                <w:szCs w:val="20"/>
              </w:rPr>
            </w:pPr>
            <w:r w:rsidRPr="00B50F02">
              <w:rPr>
                <w:rFonts w:ascii="Arial" w:hAnsi="Arial" w:cs="Arial"/>
                <w:sz w:val="20"/>
                <w:szCs w:val="20"/>
              </w:rPr>
              <w:t xml:space="preserve">1995.I -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1999. IV  </w:t>
            </w:r>
          </w:p>
        </w:tc>
        <w:tc>
          <w:tcPr>
            <w:tcW w:w="503" w:type="pct"/>
          </w:tcPr>
          <w:p w:rsidR="00C865F2" w:rsidRPr="00B50F02" w:rsidRDefault="00C865F2" w:rsidP="007D13DB">
            <w:pPr>
              <w:rPr>
                <w:rFonts w:ascii="Arial" w:hAnsi="Arial" w:cs="Arial"/>
                <w:sz w:val="20"/>
                <w:szCs w:val="20"/>
              </w:rPr>
            </w:pPr>
            <w:r w:rsidRPr="00B50F02">
              <w:rPr>
                <w:rFonts w:ascii="Arial" w:hAnsi="Arial" w:cs="Arial"/>
                <w:sz w:val="20"/>
                <w:szCs w:val="20"/>
              </w:rPr>
              <w:t xml:space="preserve">2000.I -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2004. IV  </w:t>
            </w:r>
          </w:p>
        </w:tc>
        <w:tc>
          <w:tcPr>
            <w:tcW w:w="477" w:type="pct"/>
          </w:tcPr>
          <w:p w:rsidR="00C865F2" w:rsidRPr="00B50F02" w:rsidRDefault="00C865F2" w:rsidP="007D13DB">
            <w:pPr>
              <w:rPr>
                <w:rFonts w:ascii="Arial" w:hAnsi="Arial" w:cs="Arial"/>
                <w:sz w:val="20"/>
                <w:szCs w:val="20"/>
              </w:rPr>
            </w:pPr>
            <w:r w:rsidRPr="00B50F02">
              <w:rPr>
                <w:rFonts w:ascii="Arial" w:hAnsi="Arial" w:cs="Arial"/>
                <w:sz w:val="20"/>
                <w:szCs w:val="20"/>
              </w:rPr>
              <w:t>2005.I -</w:t>
            </w:r>
          </w:p>
          <w:p w:rsidR="00C865F2" w:rsidRPr="00B50F02" w:rsidRDefault="00C865F2" w:rsidP="007D13DB">
            <w:pPr>
              <w:rPr>
                <w:rFonts w:ascii="Arial" w:hAnsi="Arial" w:cs="Arial"/>
                <w:sz w:val="20"/>
                <w:szCs w:val="20"/>
              </w:rPr>
            </w:pPr>
            <w:r w:rsidRPr="00B50F02">
              <w:rPr>
                <w:rFonts w:ascii="Arial" w:hAnsi="Arial" w:cs="Arial"/>
                <w:sz w:val="20"/>
                <w:szCs w:val="20"/>
              </w:rPr>
              <w:t xml:space="preserve">EOS </w:t>
            </w:r>
          </w:p>
        </w:tc>
      </w:tr>
      <w:tr w:rsidR="00C865F2" w:rsidRPr="00B50F02" w:rsidTr="007D13DB">
        <w:trPr>
          <w:trHeight w:hRule="exact" w:val="271"/>
        </w:trPr>
        <w:tc>
          <w:tcPr>
            <w:tcW w:w="984" w:type="pct"/>
          </w:tcPr>
          <w:p w:rsidR="00C865F2" w:rsidRPr="00E903C1" w:rsidRDefault="00C865F2" w:rsidP="007D13DB">
            <w:pPr>
              <w:pStyle w:val="ColorfulList-Accent12"/>
              <w:spacing w:line="240" w:lineRule="auto"/>
              <w:ind w:left="0"/>
              <w:rPr>
                <w:rFonts w:ascii="Arial" w:hAnsi="Arial" w:cs="Arial"/>
                <w:i/>
                <w:sz w:val="20"/>
                <w:szCs w:val="20"/>
              </w:rPr>
            </w:pPr>
            <w:r w:rsidRPr="00E903C1">
              <w:rPr>
                <w:rFonts w:ascii="Arial" w:hAnsi="Arial" w:cs="Arial"/>
                <w:i/>
                <w:sz w:val="20"/>
                <w:szCs w:val="20"/>
              </w:rPr>
              <w:t>1 PC</w:t>
            </w:r>
          </w:p>
        </w:tc>
        <w:tc>
          <w:tcPr>
            <w:tcW w:w="512" w:type="pct"/>
          </w:tcPr>
          <w:p w:rsidR="00C865F2" w:rsidRPr="00FE46AD" w:rsidRDefault="00C865F2" w:rsidP="007D13DB">
            <w:pPr>
              <w:pStyle w:val="ColorfulList-Accent12"/>
              <w:spacing w:line="240" w:lineRule="auto"/>
              <w:ind w:left="0"/>
              <w:rPr>
                <w:rFonts w:ascii="Arial" w:hAnsi="Arial" w:cs="Arial"/>
                <w:sz w:val="20"/>
                <w:szCs w:val="20"/>
              </w:rPr>
            </w:pPr>
          </w:p>
        </w:tc>
        <w:tc>
          <w:tcPr>
            <w:tcW w:w="512" w:type="pct"/>
          </w:tcPr>
          <w:p w:rsidR="00C865F2" w:rsidRPr="00FE46AD" w:rsidRDefault="00C865F2" w:rsidP="007D13DB">
            <w:pPr>
              <w:pStyle w:val="ColorfulList-Accent12"/>
              <w:spacing w:line="240" w:lineRule="auto"/>
              <w:ind w:left="0"/>
              <w:rPr>
                <w:rFonts w:ascii="Arial" w:hAnsi="Arial" w:cs="Arial"/>
                <w:sz w:val="20"/>
                <w:szCs w:val="20"/>
              </w:rPr>
            </w:pP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1.04</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1.46</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0.82</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1.83</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0.83</w:t>
            </w:r>
          </w:p>
        </w:tc>
        <w:tc>
          <w:tcPr>
            <w:tcW w:w="477"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0.60</w:t>
            </w:r>
          </w:p>
        </w:tc>
      </w:tr>
      <w:tr w:rsidR="00C865F2" w:rsidRPr="00B50F02" w:rsidTr="007D13DB">
        <w:trPr>
          <w:trHeight w:hRule="exact" w:val="271"/>
        </w:trPr>
        <w:tc>
          <w:tcPr>
            <w:tcW w:w="984" w:type="pct"/>
          </w:tcPr>
          <w:p w:rsidR="00C865F2" w:rsidRPr="00E903C1" w:rsidRDefault="00C865F2" w:rsidP="007D13DB">
            <w:pPr>
              <w:pStyle w:val="ColorfulList-Accent12"/>
              <w:spacing w:line="240" w:lineRule="auto"/>
              <w:ind w:left="0"/>
              <w:rPr>
                <w:rFonts w:ascii="Arial" w:hAnsi="Arial" w:cs="Arial"/>
                <w:i/>
                <w:sz w:val="20"/>
                <w:szCs w:val="20"/>
              </w:rPr>
            </w:pPr>
            <w:r w:rsidRPr="00E903C1">
              <w:rPr>
                <w:rFonts w:ascii="Arial" w:hAnsi="Arial" w:cs="Arial"/>
                <w:i/>
                <w:sz w:val="20"/>
                <w:szCs w:val="20"/>
              </w:rPr>
              <w:t>2 PCs</w:t>
            </w:r>
          </w:p>
        </w:tc>
        <w:tc>
          <w:tcPr>
            <w:tcW w:w="512" w:type="pct"/>
          </w:tcPr>
          <w:p w:rsidR="00C865F2" w:rsidRPr="00FE46AD" w:rsidRDefault="00C865F2" w:rsidP="007D13DB">
            <w:pPr>
              <w:pStyle w:val="ColorfulList-Accent12"/>
              <w:spacing w:line="240" w:lineRule="auto"/>
              <w:ind w:left="0"/>
              <w:rPr>
                <w:rFonts w:ascii="Arial" w:hAnsi="Arial" w:cs="Arial"/>
                <w:sz w:val="20"/>
                <w:szCs w:val="20"/>
              </w:rPr>
            </w:pPr>
          </w:p>
        </w:tc>
        <w:tc>
          <w:tcPr>
            <w:tcW w:w="512" w:type="pct"/>
          </w:tcPr>
          <w:p w:rsidR="00C865F2" w:rsidRPr="00FE46AD" w:rsidRDefault="00C865F2" w:rsidP="007D13DB">
            <w:pPr>
              <w:pStyle w:val="ColorfulList-Accent12"/>
              <w:spacing w:line="240" w:lineRule="auto"/>
              <w:ind w:left="0"/>
              <w:rPr>
                <w:rFonts w:ascii="Arial" w:hAnsi="Arial" w:cs="Arial"/>
                <w:sz w:val="20"/>
                <w:szCs w:val="20"/>
              </w:rPr>
            </w:pP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0.93</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1.61</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0.99</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3.01</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0.93</w:t>
            </w:r>
          </w:p>
        </w:tc>
        <w:tc>
          <w:tcPr>
            <w:tcW w:w="477"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0.63</w:t>
            </w:r>
          </w:p>
        </w:tc>
      </w:tr>
      <w:tr w:rsidR="00C865F2" w:rsidRPr="00B50F02" w:rsidTr="007D13DB">
        <w:trPr>
          <w:trHeight w:hRule="exact" w:val="271"/>
        </w:trPr>
        <w:tc>
          <w:tcPr>
            <w:tcW w:w="984" w:type="pct"/>
          </w:tcPr>
          <w:p w:rsidR="00C865F2" w:rsidRPr="00E903C1" w:rsidRDefault="00C865F2" w:rsidP="007D13DB">
            <w:pPr>
              <w:pStyle w:val="ColorfulList-Accent12"/>
              <w:spacing w:line="240" w:lineRule="auto"/>
              <w:ind w:left="0"/>
              <w:rPr>
                <w:rFonts w:ascii="Arial" w:hAnsi="Arial" w:cs="Arial"/>
                <w:i/>
                <w:sz w:val="20"/>
                <w:szCs w:val="20"/>
              </w:rPr>
            </w:pPr>
            <w:r w:rsidRPr="00E903C1">
              <w:rPr>
                <w:rFonts w:ascii="Arial" w:hAnsi="Arial" w:cs="Arial"/>
                <w:i/>
                <w:sz w:val="20"/>
                <w:szCs w:val="20"/>
              </w:rPr>
              <w:t>3 PCs</w:t>
            </w:r>
          </w:p>
        </w:tc>
        <w:tc>
          <w:tcPr>
            <w:tcW w:w="512" w:type="pct"/>
          </w:tcPr>
          <w:p w:rsidR="00C865F2" w:rsidRPr="00FE46AD" w:rsidRDefault="00C865F2" w:rsidP="007D13DB">
            <w:pPr>
              <w:pStyle w:val="ColorfulList-Accent12"/>
              <w:spacing w:line="240" w:lineRule="auto"/>
              <w:ind w:left="0"/>
              <w:rPr>
                <w:rFonts w:ascii="Arial" w:hAnsi="Arial" w:cs="Arial"/>
                <w:sz w:val="20"/>
                <w:szCs w:val="20"/>
              </w:rPr>
            </w:pPr>
          </w:p>
        </w:tc>
        <w:tc>
          <w:tcPr>
            <w:tcW w:w="512" w:type="pct"/>
          </w:tcPr>
          <w:p w:rsidR="00C865F2" w:rsidRPr="00FE46AD" w:rsidRDefault="00C865F2" w:rsidP="007D13DB">
            <w:pPr>
              <w:pStyle w:val="ColorfulList-Accent12"/>
              <w:spacing w:line="240" w:lineRule="auto"/>
              <w:ind w:left="0"/>
              <w:rPr>
                <w:rFonts w:ascii="Arial" w:hAnsi="Arial" w:cs="Arial"/>
                <w:sz w:val="20"/>
                <w:szCs w:val="20"/>
              </w:rPr>
            </w:pP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0.92</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1.49</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1.00</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3.51</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0.78</w:t>
            </w:r>
          </w:p>
        </w:tc>
        <w:tc>
          <w:tcPr>
            <w:tcW w:w="477"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0.68</w:t>
            </w:r>
          </w:p>
        </w:tc>
      </w:tr>
      <w:tr w:rsidR="00C865F2" w:rsidRPr="00B50F02" w:rsidTr="007D13DB">
        <w:tc>
          <w:tcPr>
            <w:tcW w:w="984" w:type="pct"/>
          </w:tcPr>
          <w:p w:rsidR="00C865F2" w:rsidRPr="000D030F" w:rsidRDefault="00C865F2" w:rsidP="007D13DB">
            <w:pPr>
              <w:pStyle w:val="ColorfulList-Accent12"/>
              <w:spacing w:line="240" w:lineRule="auto"/>
              <w:ind w:left="0"/>
              <w:rPr>
                <w:rFonts w:ascii="Arial" w:hAnsi="Arial" w:cs="Arial"/>
                <w:sz w:val="20"/>
                <w:szCs w:val="20"/>
              </w:rPr>
            </w:pPr>
            <w:r w:rsidRPr="000D030F">
              <w:rPr>
                <w:rFonts w:ascii="Arial" w:hAnsi="Arial" w:cs="Arial"/>
                <w:sz w:val="20"/>
                <w:szCs w:val="20"/>
              </w:rPr>
              <w:t>Average</w:t>
            </w:r>
          </w:p>
        </w:tc>
        <w:tc>
          <w:tcPr>
            <w:tcW w:w="512" w:type="pct"/>
          </w:tcPr>
          <w:p w:rsidR="00C865F2" w:rsidRPr="00FE46AD" w:rsidRDefault="00C865F2" w:rsidP="007D13DB">
            <w:pPr>
              <w:pStyle w:val="ColorfulList-Accent12"/>
              <w:spacing w:line="240" w:lineRule="auto"/>
              <w:ind w:left="0"/>
              <w:rPr>
                <w:rFonts w:ascii="Arial" w:hAnsi="Arial" w:cs="Arial"/>
                <w:sz w:val="20"/>
                <w:szCs w:val="20"/>
              </w:rPr>
            </w:pPr>
          </w:p>
        </w:tc>
        <w:tc>
          <w:tcPr>
            <w:tcW w:w="512" w:type="pct"/>
          </w:tcPr>
          <w:p w:rsidR="00C865F2" w:rsidRPr="00FE46AD" w:rsidRDefault="00C865F2" w:rsidP="007D13DB">
            <w:pPr>
              <w:pStyle w:val="ColorfulList-Accent12"/>
              <w:spacing w:line="240" w:lineRule="auto"/>
              <w:ind w:left="0"/>
              <w:rPr>
                <w:rFonts w:ascii="Arial" w:hAnsi="Arial" w:cs="Arial"/>
                <w:sz w:val="20"/>
                <w:szCs w:val="20"/>
              </w:rPr>
            </w:pP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0.96</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1.52</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0.94</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2.78</w:t>
            </w:r>
          </w:p>
        </w:tc>
        <w:tc>
          <w:tcPr>
            <w:tcW w:w="503"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0.85</w:t>
            </w:r>
          </w:p>
        </w:tc>
        <w:tc>
          <w:tcPr>
            <w:tcW w:w="477" w:type="pct"/>
          </w:tcPr>
          <w:p w:rsidR="00C865F2" w:rsidRPr="001E0EA6" w:rsidRDefault="00C865F2" w:rsidP="007D13DB">
            <w:pPr>
              <w:jc w:val="center"/>
              <w:rPr>
                <w:rFonts w:ascii="Arial" w:hAnsi="Arial" w:cs="Arial"/>
                <w:sz w:val="20"/>
                <w:szCs w:val="20"/>
              </w:rPr>
            </w:pPr>
            <w:r w:rsidRPr="001E0EA6">
              <w:rPr>
                <w:rFonts w:ascii="Arial" w:hAnsi="Arial" w:cs="Arial"/>
                <w:sz w:val="20"/>
                <w:szCs w:val="20"/>
              </w:rPr>
              <w:t>0.63</w:t>
            </w:r>
          </w:p>
        </w:tc>
      </w:tr>
      <w:tr w:rsidR="00C865F2" w:rsidRPr="00B50F02" w:rsidTr="007D13DB">
        <w:tc>
          <w:tcPr>
            <w:tcW w:w="984" w:type="pct"/>
          </w:tcPr>
          <w:p w:rsidR="00C865F2" w:rsidRPr="000D030F" w:rsidRDefault="00C865F2" w:rsidP="007D13DB">
            <w:pPr>
              <w:pStyle w:val="ColorfulList-Accent12"/>
              <w:spacing w:line="240" w:lineRule="auto"/>
              <w:ind w:left="0"/>
              <w:rPr>
                <w:rFonts w:ascii="Arial" w:hAnsi="Arial" w:cs="Arial"/>
                <w:sz w:val="20"/>
                <w:szCs w:val="20"/>
              </w:rPr>
            </w:pPr>
          </w:p>
        </w:tc>
        <w:tc>
          <w:tcPr>
            <w:tcW w:w="512" w:type="pct"/>
          </w:tcPr>
          <w:p w:rsidR="00C865F2" w:rsidRPr="00FE46AD" w:rsidRDefault="00C865F2" w:rsidP="007D13DB">
            <w:pPr>
              <w:pStyle w:val="ColorfulList-Accent12"/>
              <w:spacing w:line="240" w:lineRule="auto"/>
              <w:ind w:left="0"/>
              <w:rPr>
                <w:rFonts w:ascii="Arial" w:hAnsi="Arial" w:cs="Arial"/>
                <w:sz w:val="20"/>
                <w:szCs w:val="20"/>
              </w:rPr>
            </w:pPr>
          </w:p>
        </w:tc>
        <w:tc>
          <w:tcPr>
            <w:tcW w:w="512" w:type="pct"/>
          </w:tcPr>
          <w:p w:rsidR="00C865F2" w:rsidRPr="00FE46AD" w:rsidRDefault="00C865F2" w:rsidP="007D13DB">
            <w:pPr>
              <w:pStyle w:val="ColorfulList-Accent12"/>
              <w:spacing w:line="240" w:lineRule="auto"/>
              <w:ind w:left="0"/>
              <w:rPr>
                <w:rFonts w:ascii="Arial" w:hAnsi="Arial" w:cs="Arial"/>
                <w:sz w:val="20"/>
                <w:szCs w:val="20"/>
              </w:rPr>
            </w:pPr>
          </w:p>
        </w:tc>
        <w:tc>
          <w:tcPr>
            <w:tcW w:w="503" w:type="pct"/>
            <w:vAlign w:val="bottom"/>
          </w:tcPr>
          <w:p w:rsidR="00C865F2" w:rsidRDefault="00C865F2" w:rsidP="007D13DB">
            <w:pPr>
              <w:jc w:val="center"/>
              <w:rPr>
                <w:rFonts w:ascii="Arial" w:hAnsi="Arial" w:cs="Arial"/>
                <w:sz w:val="20"/>
                <w:szCs w:val="20"/>
              </w:rPr>
            </w:pPr>
          </w:p>
        </w:tc>
        <w:tc>
          <w:tcPr>
            <w:tcW w:w="503" w:type="pct"/>
            <w:vAlign w:val="bottom"/>
          </w:tcPr>
          <w:p w:rsidR="00C865F2" w:rsidRDefault="00C865F2" w:rsidP="007D13DB">
            <w:pPr>
              <w:jc w:val="center"/>
              <w:rPr>
                <w:rFonts w:ascii="Arial" w:hAnsi="Arial" w:cs="Arial"/>
                <w:sz w:val="20"/>
                <w:szCs w:val="20"/>
              </w:rPr>
            </w:pPr>
          </w:p>
        </w:tc>
        <w:tc>
          <w:tcPr>
            <w:tcW w:w="503" w:type="pct"/>
            <w:vAlign w:val="bottom"/>
          </w:tcPr>
          <w:p w:rsidR="00C865F2" w:rsidRDefault="00C865F2" w:rsidP="007D13DB">
            <w:pPr>
              <w:jc w:val="center"/>
              <w:rPr>
                <w:rFonts w:ascii="Arial" w:hAnsi="Arial" w:cs="Arial"/>
                <w:sz w:val="20"/>
                <w:szCs w:val="20"/>
              </w:rPr>
            </w:pPr>
          </w:p>
        </w:tc>
        <w:tc>
          <w:tcPr>
            <w:tcW w:w="503" w:type="pct"/>
            <w:vAlign w:val="bottom"/>
          </w:tcPr>
          <w:p w:rsidR="00C865F2" w:rsidRDefault="00C865F2" w:rsidP="007D13DB">
            <w:pPr>
              <w:jc w:val="center"/>
              <w:rPr>
                <w:rFonts w:ascii="Arial" w:hAnsi="Arial" w:cs="Arial"/>
                <w:sz w:val="20"/>
                <w:szCs w:val="20"/>
              </w:rPr>
            </w:pPr>
          </w:p>
        </w:tc>
        <w:tc>
          <w:tcPr>
            <w:tcW w:w="503" w:type="pct"/>
            <w:vAlign w:val="bottom"/>
          </w:tcPr>
          <w:p w:rsidR="00C865F2" w:rsidRDefault="00C865F2" w:rsidP="007D13DB">
            <w:pPr>
              <w:jc w:val="center"/>
              <w:rPr>
                <w:rFonts w:ascii="Arial" w:hAnsi="Arial" w:cs="Arial"/>
                <w:sz w:val="20"/>
                <w:szCs w:val="20"/>
              </w:rPr>
            </w:pPr>
          </w:p>
        </w:tc>
        <w:tc>
          <w:tcPr>
            <w:tcW w:w="477" w:type="pct"/>
            <w:vAlign w:val="bottom"/>
          </w:tcPr>
          <w:p w:rsidR="00C865F2" w:rsidRDefault="00C865F2" w:rsidP="007D13DB">
            <w:pPr>
              <w:jc w:val="center"/>
              <w:rPr>
                <w:rFonts w:ascii="Arial" w:hAnsi="Arial" w:cs="Arial"/>
                <w:sz w:val="20"/>
                <w:szCs w:val="20"/>
              </w:rPr>
            </w:pPr>
          </w:p>
        </w:tc>
      </w:tr>
      <w:tr w:rsidR="00C865F2" w:rsidRPr="002E232D" w:rsidTr="007D13DB">
        <w:trPr>
          <w:trHeight w:hRule="exact" w:val="604"/>
        </w:trPr>
        <w:tc>
          <w:tcPr>
            <w:tcW w:w="984" w:type="pct"/>
          </w:tcPr>
          <w:p w:rsidR="00C865F2" w:rsidRDefault="00C865F2" w:rsidP="007D13DB">
            <w:pPr>
              <w:pStyle w:val="ColorfulList-Accent12"/>
              <w:spacing w:line="240" w:lineRule="auto"/>
              <w:ind w:left="0"/>
              <w:rPr>
                <w:rFonts w:ascii="Arial" w:hAnsi="Arial" w:cs="Arial"/>
                <w:sz w:val="20"/>
                <w:szCs w:val="20"/>
              </w:rPr>
            </w:pPr>
            <w:r w:rsidRPr="002E232D">
              <w:rPr>
                <w:rFonts w:ascii="Arial" w:hAnsi="Arial" w:cs="Arial"/>
                <w:sz w:val="20"/>
                <w:szCs w:val="20"/>
              </w:rPr>
              <w:t xml:space="preserve">AR </w:t>
            </w:r>
            <w:r>
              <w:rPr>
                <w:rFonts w:ascii="Arial" w:hAnsi="Arial" w:cs="Arial"/>
                <w:sz w:val="20"/>
                <w:szCs w:val="20"/>
              </w:rPr>
              <w:t xml:space="preserve">Model RMSE </w:t>
            </w:r>
            <w:r w:rsidRPr="002E232D">
              <w:rPr>
                <w:rFonts w:ascii="Arial" w:hAnsi="Arial" w:cs="Arial"/>
                <w:sz w:val="20"/>
                <w:szCs w:val="20"/>
              </w:rPr>
              <w:t>Avg (Tab 3.</w:t>
            </w:r>
            <w:r>
              <w:rPr>
                <w:rFonts w:ascii="Arial" w:hAnsi="Arial" w:cs="Arial"/>
                <w:sz w:val="20"/>
                <w:szCs w:val="20"/>
              </w:rPr>
              <w:t xml:space="preserve">2)  </w:t>
            </w:r>
          </w:p>
          <w:p w:rsidR="00C865F2" w:rsidRPr="002E232D" w:rsidRDefault="00C865F2" w:rsidP="007D13DB">
            <w:pPr>
              <w:pStyle w:val="ColorfulList-Accent12"/>
              <w:spacing w:line="240" w:lineRule="auto"/>
              <w:ind w:left="0"/>
              <w:rPr>
                <w:rFonts w:ascii="Arial" w:hAnsi="Arial" w:cs="Arial"/>
                <w:sz w:val="20"/>
                <w:szCs w:val="20"/>
              </w:rPr>
            </w:pPr>
            <w:r>
              <w:rPr>
                <w:rFonts w:ascii="Arial" w:hAnsi="Arial" w:cs="Arial"/>
                <w:sz w:val="20"/>
                <w:szCs w:val="20"/>
              </w:rPr>
              <w:t xml:space="preserve"> </w:t>
            </w:r>
            <w:r w:rsidRPr="002E232D">
              <w:rPr>
                <w:rFonts w:ascii="Arial" w:hAnsi="Arial" w:cs="Arial"/>
                <w:sz w:val="20"/>
                <w:szCs w:val="20"/>
              </w:rPr>
              <w:t xml:space="preserve"> </w:t>
            </w:r>
          </w:p>
        </w:tc>
        <w:tc>
          <w:tcPr>
            <w:tcW w:w="512" w:type="pct"/>
          </w:tcPr>
          <w:p w:rsidR="00C865F2" w:rsidRPr="00B50F02" w:rsidRDefault="00C865F2" w:rsidP="007D13DB">
            <w:pPr>
              <w:jc w:val="center"/>
              <w:rPr>
                <w:rFonts w:ascii="Arial" w:hAnsi="Arial" w:cs="Arial"/>
                <w:sz w:val="20"/>
                <w:szCs w:val="20"/>
              </w:rPr>
            </w:pPr>
            <w:r>
              <w:rPr>
                <w:rFonts w:ascii="Arial" w:hAnsi="Arial" w:cs="Arial"/>
                <w:sz w:val="20"/>
                <w:szCs w:val="20"/>
              </w:rPr>
              <w:t>3.86</w:t>
            </w:r>
          </w:p>
        </w:tc>
        <w:tc>
          <w:tcPr>
            <w:tcW w:w="512" w:type="pct"/>
          </w:tcPr>
          <w:p w:rsidR="00C865F2" w:rsidRPr="00B50F02" w:rsidRDefault="00C865F2" w:rsidP="007D13DB">
            <w:pPr>
              <w:jc w:val="center"/>
              <w:rPr>
                <w:rFonts w:ascii="Arial" w:hAnsi="Arial" w:cs="Arial"/>
                <w:sz w:val="20"/>
                <w:szCs w:val="20"/>
              </w:rPr>
            </w:pPr>
            <w:r>
              <w:rPr>
                <w:rFonts w:ascii="Arial" w:hAnsi="Arial" w:cs="Arial"/>
                <w:sz w:val="20"/>
                <w:szCs w:val="20"/>
              </w:rPr>
              <w:t>2.36</w:t>
            </w:r>
          </w:p>
        </w:tc>
        <w:tc>
          <w:tcPr>
            <w:tcW w:w="503" w:type="pct"/>
          </w:tcPr>
          <w:p w:rsidR="00C865F2" w:rsidRPr="00B50F02" w:rsidRDefault="00C865F2" w:rsidP="007D13DB">
            <w:pPr>
              <w:jc w:val="center"/>
              <w:rPr>
                <w:rFonts w:ascii="Arial" w:hAnsi="Arial" w:cs="Arial"/>
                <w:sz w:val="20"/>
                <w:szCs w:val="20"/>
              </w:rPr>
            </w:pPr>
            <w:r>
              <w:rPr>
                <w:rFonts w:ascii="Arial" w:hAnsi="Arial" w:cs="Arial"/>
                <w:sz w:val="20"/>
                <w:szCs w:val="20"/>
              </w:rPr>
              <w:t>3.18</w:t>
            </w:r>
          </w:p>
        </w:tc>
        <w:tc>
          <w:tcPr>
            <w:tcW w:w="503" w:type="pct"/>
          </w:tcPr>
          <w:p w:rsidR="00C865F2" w:rsidRPr="00B50F02" w:rsidRDefault="00C865F2" w:rsidP="007D13DB">
            <w:pPr>
              <w:jc w:val="center"/>
              <w:rPr>
                <w:rFonts w:ascii="Arial" w:hAnsi="Arial" w:cs="Arial"/>
                <w:sz w:val="20"/>
                <w:szCs w:val="20"/>
              </w:rPr>
            </w:pPr>
            <w:r>
              <w:rPr>
                <w:rFonts w:ascii="Arial" w:hAnsi="Arial" w:cs="Arial"/>
                <w:sz w:val="20"/>
                <w:szCs w:val="20"/>
              </w:rPr>
              <w:t>1.12</w:t>
            </w:r>
          </w:p>
        </w:tc>
        <w:tc>
          <w:tcPr>
            <w:tcW w:w="503" w:type="pct"/>
          </w:tcPr>
          <w:p w:rsidR="00C865F2" w:rsidRPr="00B50F02" w:rsidRDefault="00C865F2" w:rsidP="007D13DB">
            <w:pPr>
              <w:jc w:val="center"/>
              <w:rPr>
                <w:rFonts w:ascii="Arial" w:hAnsi="Arial" w:cs="Arial"/>
                <w:sz w:val="20"/>
                <w:szCs w:val="20"/>
              </w:rPr>
            </w:pPr>
            <w:r>
              <w:rPr>
                <w:rFonts w:ascii="Arial" w:hAnsi="Arial" w:cs="Arial"/>
                <w:sz w:val="20"/>
                <w:szCs w:val="20"/>
              </w:rPr>
              <w:t>1.58</w:t>
            </w:r>
          </w:p>
        </w:tc>
        <w:tc>
          <w:tcPr>
            <w:tcW w:w="503" w:type="pct"/>
          </w:tcPr>
          <w:p w:rsidR="00C865F2" w:rsidRPr="00B50F02" w:rsidRDefault="00C865F2" w:rsidP="007D13DB">
            <w:pPr>
              <w:jc w:val="center"/>
              <w:rPr>
                <w:rFonts w:ascii="Arial" w:hAnsi="Arial" w:cs="Arial"/>
                <w:sz w:val="20"/>
                <w:szCs w:val="20"/>
              </w:rPr>
            </w:pPr>
            <w:r>
              <w:rPr>
                <w:rFonts w:ascii="Arial" w:hAnsi="Arial" w:cs="Arial"/>
                <w:sz w:val="20"/>
                <w:szCs w:val="20"/>
              </w:rPr>
              <w:t>0.97</w:t>
            </w:r>
          </w:p>
        </w:tc>
        <w:tc>
          <w:tcPr>
            <w:tcW w:w="503" w:type="pct"/>
          </w:tcPr>
          <w:p w:rsidR="00C865F2" w:rsidRPr="00B50F02" w:rsidRDefault="00C865F2" w:rsidP="007D13DB">
            <w:pPr>
              <w:jc w:val="center"/>
              <w:rPr>
                <w:rFonts w:ascii="Arial" w:hAnsi="Arial" w:cs="Arial"/>
                <w:sz w:val="20"/>
                <w:szCs w:val="20"/>
              </w:rPr>
            </w:pPr>
            <w:r>
              <w:rPr>
                <w:rFonts w:ascii="Arial" w:hAnsi="Arial" w:cs="Arial"/>
                <w:sz w:val="20"/>
                <w:szCs w:val="20"/>
              </w:rPr>
              <w:t>1.78</w:t>
            </w:r>
          </w:p>
        </w:tc>
        <w:tc>
          <w:tcPr>
            <w:tcW w:w="477" w:type="pct"/>
          </w:tcPr>
          <w:p w:rsidR="00C865F2" w:rsidRPr="00B50F02" w:rsidRDefault="00C865F2" w:rsidP="007D13DB">
            <w:pPr>
              <w:jc w:val="center"/>
              <w:rPr>
                <w:rFonts w:ascii="Arial" w:hAnsi="Arial" w:cs="Arial"/>
                <w:sz w:val="20"/>
                <w:szCs w:val="20"/>
              </w:rPr>
            </w:pPr>
            <w:r>
              <w:rPr>
                <w:rFonts w:ascii="Arial" w:hAnsi="Arial" w:cs="Arial"/>
                <w:sz w:val="20"/>
                <w:szCs w:val="20"/>
              </w:rPr>
              <w:t>3.55</w:t>
            </w:r>
          </w:p>
        </w:tc>
      </w:tr>
      <w:tr w:rsidR="00C865F2" w:rsidRPr="002E232D" w:rsidTr="007D13DB">
        <w:trPr>
          <w:trHeight w:hRule="exact" w:val="244"/>
        </w:trPr>
        <w:tc>
          <w:tcPr>
            <w:tcW w:w="984" w:type="pct"/>
          </w:tcPr>
          <w:p w:rsidR="00C865F2" w:rsidRPr="002E232D" w:rsidRDefault="00C865F2" w:rsidP="007D13DB">
            <w:pPr>
              <w:pStyle w:val="ColorfulList-Accent12"/>
              <w:spacing w:line="240" w:lineRule="auto"/>
              <w:ind w:left="0"/>
              <w:rPr>
                <w:rFonts w:ascii="Arial" w:hAnsi="Arial" w:cs="Arial"/>
                <w:sz w:val="20"/>
                <w:szCs w:val="20"/>
              </w:rPr>
            </w:pPr>
            <w:r w:rsidRPr="002E232D">
              <w:rPr>
                <w:rFonts w:ascii="Arial" w:hAnsi="Arial" w:cs="Arial"/>
                <w:sz w:val="20"/>
                <w:szCs w:val="20"/>
              </w:rPr>
              <w:t xml:space="preserve">SP500 (Tab. 3.2) </w:t>
            </w:r>
          </w:p>
        </w:tc>
        <w:tc>
          <w:tcPr>
            <w:tcW w:w="512"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0.76</w:t>
            </w:r>
          </w:p>
        </w:tc>
        <w:tc>
          <w:tcPr>
            <w:tcW w:w="512"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1.14</w:t>
            </w: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0.89</w:t>
            </w: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1.73</w:t>
            </w: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1.00</w:t>
            </w: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1.04</w:t>
            </w: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0.87</w:t>
            </w:r>
          </w:p>
        </w:tc>
        <w:tc>
          <w:tcPr>
            <w:tcW w:w="477"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0.89</w:t>
            </w:r>
          </w:p>
        </w:tc>
      </w:tr>
      <w:tr w:rsidR="00C865F2" w:rsidRPr="00B50F02" w:rsidTr="007D13DB">
        <w:trPr>
          <w:trHeight w:hRule="exact" w:val="271"/>
        </w:trPr>
        <w:tc>
          <w:tcPr>
            <w:tcW w:w="984" w:type="pct"/>
          </w:tcPr>
          <w:p w:rsidR="00C865F2" w:rsidRPr="002E232D" w:rsidRDefault="00C865F2" w:rsidP="007D13DB">
            <w:pPr>
              <w:pStyle w:val="ColorfulList-Accent12"/>
              <w:spacing w:line="240" w:lineRule="auto"/>
              <w:ind w:left="0"/>
              <w:rPr>
                <w:rFonts w:ascii="Arial" w:hAnsi="Arial" w:cs="Arial"/>
                <w:sz w:val="20"/>
                <w:szCs w:val="20"/>
              </w:rPr>
            </w:pPr>
            <w:r w:rsidRPr="002E232D">
              <w:rPr>
                <w:rFonts w:ascii="Arial" w:hAnsi="Arial" w:cs="Arial"/>
                <w:sz w:val="20"/>
                <w:szCs w:val="20"/>
              </w:rPr>
              <w:t>KCFSI (Tab. 3.3)</w:t>
            </w:r>
          </w:p>
        </w:tc>
        <w:tc>
          <w:tcPr>
            <w:tcW w:w="512" w:type="pct"/>
          </w:tcPr>
          <w:p w:rsidR="00C865F2" w:rsidRPr="004C7408" w:rsidRDefault="00C865F2" w:rsidP="007D13DB">
            <w:pPr>
              <w:jc w:val="center"/>
              <w:rPr>
                <w:rFonts w:ascii="Arial" w:hAnsi="Arial" w:cs="Arial"/>
                <w:sz w:val="20"/>
                <w:szCs w:val="20"/>
              </w:rPr>
            </w:pPr>
          </w:p>
        </w:tc>
        <w:tc>
          <w:tcPr>
            <w:tcW w:w="512" w:type="pct"/>
          </w:tcPr>
          <w:p w:rsidR="00C865F2" w:rsidRPr="004C7408" w:rsidRDefault="00C865F2" w:rsidP="007D13DB">
            <w:pPr>
              <w:jc w:val="center"/>
              <w:rPr>
                <w:rFonts w:ascii="Arial" w:hAnsi="Arial" w:cs="Arial"/>
                <w:sz w:val="20"/>
                <w:szCs w:val="20"/>
              </w:rPr>
            </w:pPr>
          </w:p>
        </w:tc>
        <w:tc>
          <w:tcPr>
            <w:tcW w:w="503" w:type="pct"/>
          </w:tcPr>
          <w:p w:rsidR="00C865F2" w:rsidRPr="004C7408" w:rsidRDefault="00C865F2" w:rsidP="007D13DB">
            <w:pPr>
              <w:jc w:val="center"/>
              <w:rPr>
                <w:rFonts w:ascii="Arial" w:hAnsi="Arial" w:cs="Arial"/>
                <w:sz w:val="20"/>
                <w:szCs w:val="20"/>
              </w:rPr>
            </w:pPr>
          </w:p>
        </w:tc>
        <w:tc>
          <w:tcPr>
            <w:tcW w:w="503" w:type="pct"/>
          </w:tcPr>
          <w:p w:rsidR="00C865F2" w:rsidRPr="004C7408" w:rsidRDefault="00C865F2" w:rsidP="007D13DB">
            <w:pPr>
              <w:jc w:val="center"/>
              <w:rPr>
                <w:rFonts w:ascii="Arial" w:hAnsi="Arial" w:cs="Arial"/>
                <w:sz w:val="20"/>
                <w:szCs w:val="20"/>
              </w:rPr>
            </w:pPr>
          </w:p>
        </w:tc>
        <w:tc>
          <w:tcPr>
            <w:tcW w:w="503" w:type="pct"/>
          </w:tcPr>
          <w:p w:rsidR="00C865F2" w:rsidRPr="004C7408" w:rsidRDefault="00C865F2" w:rsidP="007D13DB">
            <w:pPr>
              <w:jc w:val="center"/>
              <w:rPr>
                <w:rFonts w:ascii="Arial" w:hAnsi="Arial" w:cs="Arial"/>
                <w:sz w:val="20"/>
                <w:szCs w:val="20"/>
              </w:rPr>
            </w:pPr>
          </w:p>
        </w:tc>
        <w:tc>
          <w:tcPr>
            <w:tcW w:w="503" w:type="pct"/>
          </w:tcPr>
          <w:p w:rsidR="00C865F2" w:rsidRPr="004C7408" w:rsidRDefault="00C865F2" w:rsidP="007D13DB">
            <w:pPr>
              <w:jc w:val="center"/>
              <w:rPr>
                <w:rFonts w:ascii="Arial" w:hAnsi="Arial" w:cs="Arial"/>
                <w:sz w:val="20"/>
                <w:szCs w:val="20"/>
              </w:rPr>
            </w:pPr>
          </w:p>
        </w:tc>
        <w:tc>
          <w:tcPr>
            <w:tcW w:w="503"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0.81</w:t>
            </w:r>
          </w:p>
        </w:tc>
        <w:tc>
          <w:tcPr>
            <w:tcW w:w="477"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0.84</w:t>
            </w:r>
          </w:p>
        </w:tc>
      </w:tr>
      <w:tr w:rsidR="00C865F2" w:rsidRPr="00B50F02" w:rsidTr="007D13DB">
        <w:trPr>
          <w:trHeight w:val="251"/>
        </w:trPr>
        <w:tc>
          <w:tcPr>
            <w:tcW w:w="984" w:type="pct"/>
          </w:tcPr>
          <w:p w:rsidR="00C865F2" w:rsidRDefault="00C865F2" w:rsidP="007D13DB">
            <w:pPr>
              <w:pStyle w:val="ColorfulList-Accent12"/>
              <w:spacing w:line="240" w:lineRule="auto"/>
              <w:ind w:left="0"/>
              <w:rPr>
                <w:rFonts w:ascii="Arial" w:hAnsi="Arial" w:cs="Arial"/>
                <w:sz w:val="20"/>
                <w:szCs w:val="20"/>
              </w:rPr>
            </w:pPr>
            <w:r>
              <w:rPr>
                <w:rFonts w:ascii="Arial" w:hAnsi="Arial" w:cs="Arial"/>
                <w:sz w:val="20"/>
                <w:szCs w:val="20"/>
              </w:rPr>
              <w:t>Avg (Tab.</w:t>
            </w:r>
            <w:r w:rsidRPr="000D030F">
              <w:rPr>
                <w:rFonts w:ascii="Arial" w:hAnsi="Arial" w:cs="Arial"/>
                <w:sz w:val="20"/>
                <w:szCs w:val="20"/>
              </w:rPr>
              <w:t xml:space="preserve"> 3</w:t>
            </w:r>
            <w:r>
              <w:rPr>
                <w:rFonts w:ascii="Arial" w:hAnsi="Arial" w:cs="Arial"/>
                <w:sz w:val="20"/>
                <w:szCs w:val="20"/>
              </w:rPr>
              <w:t>.2)</w:t>
            </w:r>
          </w:p>
        </w:tc>
        <w:tc>
          <w:tcPr>
            <w:tcW w:w="512" w:type="pct"/>
            <w:vAlign w:val="bottom"/>
          </w:tcPr>
          <w:p w:rsidR="00C865F2" w:rsidRPr="00DE651B" w:rsidRDefault="00C865F2" w:rsidP="007D13DB">
            <w:pPr>
              <w:jc w:val="center"/>
              <w:rPr>
                <w:rFonts w:ascii="Arial" w:hAnsi="Arial" w:cs="Arial"/>
                <w:sz w:val="20"/>
                <w:szCs w:val="20"/>
              </w:rPr>
            </w:pPr>
            <w:r>
              <w:rPr>
                <w:rFonts w:ascii="Arial" w:hAnsi="Arial" w:cs="Arial"/>
                <w:color w:val="000000"/>
                <w:sz w:val="20"/>
                <w:szCs w:val="20"/>
              </w:rPr>
              <w:t>0.71</w:t>
            </w:r>
          </w:p>
        </w:tc>
        <w:tc>
          <w:tcPr>
            <w:tcW w:w="512" w:type="pct"/>
            <w:vAlign w:val="bottom"/>
          </w:tcPr>
          <w:p w:rsidR="00C865F2" w:rsidRPr="00DE651B" w:rsidRDefault="00C865F2" w:rsidP="007D13DB">
            <w:pPr>
              <w:jc w:val="center"/>
              <w:rPr>
                <w:rFonts w:ascii="Arial" w:hAnsi="Arial" w:cs="Arial"/>
                <w:sz w:val="20"/>
                <w:szCs w:val="20"/>
              </w:rPr>
            </w:pPr>
            <w:r>
              <w:rPr>
                <w:rFonts w:ascii="Arial" w:hAnsi="Arial" w:cs="Arial"/>
                <w:color w:val="000000"/>
                <w:sz w:val="20"/>
                <w:szCs w:val="20"/>
              </w:rPr>
              <w:t>0.95</w:t>
            </w:r>
          </w:p>
        </w:tc>
        <w:tc>
          <w:tcPr>
            <w:tcW w:w="503" w:type="pct"/>
            <w:vAlign w:val="bottom"/>
          </w:tcPr>
          <w:p w:rsidR="00C865F2" w:rsidRPr="00DE651B" w:rsidRDefault="00C865F2" w:rsidP="007D13DB">
            <w:pPr>
              <w:jc w:val="center"/>
              <w:rPr>
                <w:rFonts w:ascii="Arial" w:hAnsi="Arial" w:cs="Arial"/>
                <w:sz w:val="20"/>
                <w:szCs w:val="20"/>
              </w:rPr>
            </w:pPr>
            <w:r>
              <w:rPr>
                <w:rFonts w:ascii="Arial" w:hAnsi="Arial" w:cs="Arial"/>
                <w:color w:val="000000"/>
                <w:sz w:val="20"/>
                <w:szCs w:val="20"/>
              </w:rPr>
              <w:t>0.86</w:t>
            </w:r>
          </w:p>
        </w:tc>
        <w:tc>
          <w:tcPr>
            <w:tcW w:w="503" w:type="pct"/>
            <w:vAlign w:val="bottom"/>
          </w:tcPr>
          <w:p w:rsidR="00C865F2" w:rsidRPr="00DE651B" w:rsidRDefault="00C865F2" w:rsidP="007D13DB">
            <w:pPr>
              <w:jc w:val="center"/>
              <w:rPr>
                <w:rFonts w:ascii="Arial" w:hAnsi="Arial" w:cs="Arial"/>
                <w:sz w:val="20"/>
                <w:szCs w:val="20"/>
              </w:rPr>
            </w:pPr>
            <w:r>
              <w:rPr>
                <w:rFonts w:ascii="Arial" w:hAnsi="Arial" w:cs="Arial"/>
                <w:color w:val="000000"/>
                <w:sz w:val="20"/>
                <w:szCs w:val="20"/>
              </w:rPr>
              <w:t>1.63</w:t>
            </w:r>
          </w:p>
        </w:tc>
        <w:tc>
          <w:tcPr>
            <w:tcW w:w="503" w:type="pct"/>
            <w:vAlign w:val="bottom"/>
          </w:tcPr>
          <w:p w:rsidR="00C865F2" w:rsidRDefault="00C865F2" w:rsidP="007D13DB">
            <w:pPr>
              <w:jc w:val="center"/>
              <w:rPr>
                <w:rFonts w:ascii="Arial" w:hAnsi="Arial" w:cs="Arial"/>
                <w:sz w:val="20"/>
                <w:szCs w:val="20"/>
              </w:rPr>
            </w:pPr>
            <w:r>
              <w:rPr>
                <w:rFonts w:ascii="Arial" w:hAnsi="Arial" w:cs="Arial"/>
                <w:color w:val="000000"/>
                <w:sz w:val="20"/>
                <w:szCs w:val="20"/>
              </w:rPr>
              <w:t>1.24</w:t>
            </w:r>
          </w:p>
        </w:tc>
        <w:tc>
          <w:tcPr>
            <w:tcW w:w="503" w:type="pct"/>
            <w:vAlign w:val="bottom"/>
          </w:tcPr>
          <w:p w:rsidR="00C865F2" w:rsidRDefault="00C865F2" w:rsidP="007D13DB">
            <w:pPr>
              <w:jc w:val="center"/>
              <w:rPr>
                <w:rFonts w:ascii="Arial" w:hAnsi="Arial" w:cs="Arial"/>
                <w:sz w:val="20"/>
                <w:szCs w:val="20"/>
              </w:rPr>
            </w:pPr>
            <w:r>
              <w:rPr>
                <w:rFonts w:ascii="Arial" w:hAnsi="Arial" w:cs="Arial"/>
                <w:color w:val="000000"/>
                <w:sz w:val="20"/>
                <w:szCs w:val="20"/>
              </w:rPr>
              <w:t>1.12</w:t>
            </w:r>
          </w:p>
        </w:tc>
        <w:tc>
          <w:tcPr>
            <w:tcW w:w="503" w:type="pct"/>
            <w:vAlign w:val="bottom"/>
          </w:tcPr>
          <w:p w:rsidR="00C865F2" w:rsidRDefault="00C865F2" w:rsidP="007D13DB">
            <w:pPr>
              <w:jc w:val="center"/>
              <w:rPr>
                <w:rFonts w:ascii="Arial" w:hAnsi="Arial" w:cs="Arial"/>
                <w:sz w:val="20"/>
                <w:szCs w:val="20"/>
              </w:rPr>
            </w:pPr>
            <w:r>
              <w:rPr>
                <w:rFonts w:ascii="Arial" w:hAnsi="Arial" w:cs="Arial"/>
                <w:color w:val="000000"/>
                <w:sz w:val="20"/>
                <w:szCs w:val="20"/>
              </w:rPr>
              <w:t>1.18</w:t>
            </w:r>
          </w:p>
        </w:tc>
        <w:tc>
          <w:tcPr>
            <w:tcW w:w="477" w:type="pct"/>
            <w:vAlign w:val="bottom"/>
          </w:tcPr>
          <w:p w:rsidR="00C865F2" w:rsidRDefault="00C865F2" w:rsidP="007D13DB">
            <w:pPr>
              <w:jc w:val="center"/>
              <w:rPr>
                <w:rFonts w:ascii="Arial" w:hAnsi="Arial" w:cs="Arial"/>
                <w:sz w:val="20"/>
                <w:szCs w:val="20"/>
              </w:rPr>
            </w:pPr>
            <w:r>
              <w:rPr>
                <w:rFonts w:ascii="Arial" w:hAnsi="Arial" w:cs="Arial"/>
                <w:color w:val="000000"/>
                <w:sz w:val="20"/>
                <w:szCs w:val="20"/>
              </w:rPr>
              <w:t>1.02</w:t>
            </w:r>
          </w:p>
        </w:tc>
      </w:tr>
      <w:tr w:rsidR="00C865F2" w:rsidRPr="00B50F02" w:rsidTr="007D13DB">
        <w:trPr>
          <w:trHeight w:val="251"/>
        </w:trPr>
        <w:tc>
          <w:tcPr>
            <w:tcW w:w="984" w:type="pct"/>
          </w:tcPr>
          <w:p w:rsidR="00C865F2" w:rsidRPr="000D030F" w:rsidRDefault="00C865F2" w:rsidP="007D13DB">
            <w:pPr>
              <w:pStyle w:val="ColorfulList-Accent12"/>
              <w:spacing w:line="240" w:lineRule="auto"/>
              <w:ind w:left="0"/>
              <w:rPr>
                <w:rFonts w:ascii="Arial" w:hAnsi="Arial" w:cs="Arial"/>
                <w:sz w:val="20"/>
                <w:szCs w:val="20"/>
              </w:rPr>
            </w:pPr>
            <w:r>
              <w:rPr>
                <w:rFonts w:ascii="Arial" w:hAnsi="Arial" w:cs="Arial"/>
                <w:sz w:val="20"/>
                <w:szCs w:val="20"/>
              </w:rPr>
              <w:t>Avg</w:t>
            </w:r>
            <w:r w:rsidRPr="000D030F">
              <w:rPr>
                <w:rFonts w:ascii="Arial" w:hAnsi="Arial" w:cs="Arial"/>
                <w:sz w:val="20"/>
                <w:szCs w:val="20"/>
              </w:rPr>
              <w:t xml:space="preserve"> </w:t>
            </w:r>
            <w:r>
              <w:rPr>
                <w:rFonts w:ascii="Arial" w:hAnsi="Arial" w:cs="Arial"/>
                <w:sz w:val="20"/>
                <w:szCs w:val="20"/>
              </w:rPr>
              <w:t>(Tab. 3.3)</w:t>
            </w:r>
          </w:p>
        </w:tc>
        <w:tc>
          <w:tcPr>
            <w:tcW w:w="512" w:type="pct"/>
            <w:vAlign w:val="bottom"/>
          </w:tcPr>
          <w:p w:rsidR="00C865F2" w:rsidRPr="00DE651B" w:rsidRDefault="00C865F2" w:rsidP="007D13DB">
            <w:pPr>
              <w:jc w:val="center"/>
              <w:rPr>
                <w:rFonts w:ascii="Arial" w:hAnsi="Arial" w:cs="Arial"/>
                <w:sz w:val="20"/>
                <w:szCs w:val="20"/>
              </w:rPr>
            </w:pPr>
          </w:p>
        </w:tc>
        <w:tc>
          <w:tcPr>
            <w:tcW w:w="512" w:type="pct"/>
            <w:vAlign w:val="bottom"/>
          </w:tcPr>
          <w:p w:rsidR="00C865F2" w:rsidRPr="00DE651B" w:rsidRDefault="00C865F2" w:rsidP="007D13DB">
            <w:pPr>
              <w:jc w:val="center"/>
              <w:rPr>
                <w:rFonts w:ascii="Arial" w:hAnsi="Arial" w:cs="Arial"/>
                <w:sz w:val="20"/>
                <w:szCs w:val="20"/>
              </w:rPr>
            </w:pPr>
          </w:p>
        </w:tc>
        <w:tc>
          <w:tcPr>
            <w:tcW w:w="503" w:type="pct"/>
            <w:vAlign w:val="bottom"/>
          </w:tcPr>
          <w:p w:rsidR="00C865F2" w:rsidRPr="00DE651B" w:rsidRDefault="00C865F2" w:rsidP="007D13DB">
            <w:pPr>
              <w:jc w:val="center"/>
              <w:rPr>
                <w:rFonts w:ascii="Arial" w:hAnsi="Arial" w:cs="Arial"/>
                <w:sz w:val="20"/>
                <w:szCs w:val="20"/>
              </w:rPr>
            </w:pPr>
          </w:p>
        </w:tc>
        <w:tc>
          <w:tcPr>
            <w:tcW w:w="503" w:type="pct"/>
            <w:vAlign w:val="bottom"/>
          </w:tcPr>
          <w:p w:rsidR="00C865F2" w:rsidRPr="00DE651B" w:rsidRDefault="00C865F2" w:rsidP="007D13DB">
            <w:pPr>
              <w:jc w:val="center"/>
              <w:rPr>
                <w:rFonts w:ascii="Arial" w:hAnsi="Arial" w:cs="Arial"/>
                <w:sz w:val="20"/>
                <w:szCs w:val="20"/>
              </w:rPr>
            </w:pPr>
          </w:p>
        </w:tc>
        <w:tc>
          <w:tcPr>
            <w:tcW w:w="503" w:type="pct"/>
            <w:vAlign w:val="bottom"/>
          </w:tcPr>
          <w:p w:rsidR="00C865F2" w:rsidRPr="00DE651B" w:rsidRDefault="00C865F2" w:rsidP="007D13DB">
            <w:pPr>
              <w:jc w:val="center"/>
              <w:rPr>
                <w:rFonts w:ascii="Arial" w:hAnsi="Arial" w:cs="Arial"/>
                <w:sz w:val="20"/>
                <w:szCs w:val="20"/>
              </w:rPr>
            </w:pPr>
            <w:r>
              <w:rPr>
                <w:rFonts w:ascii="Arial" w:hAnsi="Arial" w:cs="Arial"/>
                <w:sz w:val="20"/>
                <w:szCs w:val="20"/>
              </w:rPr>
              <w:t>1.28</w:t>
            </w:r>
          </w:p>
        </w:tc>
        <w:tc>
          <w:tcPr>
            <w:tcW w:w="503" w:type="pct"/>
            <w:vAlign w:val="bottom"/>
          </w:tcPr>
          <w:p w:rsidR="00C865F2" w:rsidRPr="00DE651B" w:rsidRDefault="00C865F2" w:rsidP="007D13DB">
            <w:pPr>
              <w:jc w:val="center"/>
              <w:rPr>
                <w:rFonts w:ascii="Arial" w:hAnsi="Arial" w:cs="Arial"/>
                <w:sz w:val="20"/>
                <w:szCs w:val="20"/>
              </w:rPr>
            </w:pPr>
            <w:r>
              <w:rPr>
                <w:rFonts w:ascii="Arial" w:hAnsi="Arial" w:cs="Arial"/>
                <w:sz w:val="20"/>
                <w:szCs w:val="20"/>
              </w:rPr>
              <w:t>1.12</w:t>
            </w:r>
          </w:p>
        </w:tc>
        <w:tc>
          <w:tcPr>
            <w:tcW w:w="503" w:type="pct"/>
            <w:vAlign w:val="bottom"/>
          </w:tcPr>
          <w:p w:rsidR="00C865F2" w:rsidRPr="00DE651B" w:rsidRDefault="00C865F2" w:rsidP="007D13DB">
            <w:pPr>
              <w:jc w:val="center"/>
              <w:rPr>
                <w:rFonts w:ascii="Arial" w:hAnsi="Arial" w:cs="Arial"/>
                <w:sz w:val="20"/>
                <w:szCs w:val="20"/>
              </w:rPr>
            </w:pPr>
            <w:r>
              <w:rPr>
                <w:rFonts w:ascii="Arial" w:hAnsi="Arial" w:cs="Arial"/>
                <w:sz w:val="20"/>
                <w:szCs w:val="20"/>
              </w:rPr>
              <w:t>1.00</w:t>
            </w:r>
          </w:p>
        </w:tc>
        <w:tc>
          <w:tcPr>
            <w:tcW w:w="477" w:type="pct"/>
            <w:vAlign w:val="bottom"/>
          </w:tcPr>
          <w:p w:rsidR="00C865F2" w:rsidRPr="00DE651B" w:rsidRDefault="00C865F2" w:rsidP="007D13DB">
            <w:pPr>
              <w:jc w:val="center"/>
              <w:rPr>
                <w:rFonts w:ascii="Arial" w:hAnsi="Arial" w:cs="Arial"/>
                <w:sz w:val="20"/>
                <w:szCs w:val="20"/>
              </w:rPr>
            </w:pPr>
            <w:r>
              <w:rPr>
                <w:rFonts w:ascii="Arial" w:hAnsi="Arial" w:cs="Arial"/>
                <w:sz w:val="20"/>
                <w:szCs w:val="20"/>
              </w:rPr>
              <w:t>0.83</w:t>
            </w:r>
          </w:p>
        </w:tc>
      </w:tr>
    </w:tbl>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pPr>
    </w:p>
    <w:p w:rsidR="00C865F2" w:rsidRDefault="00C865F2" w:rsidP="00C865F2">
      <w:pPr>
        <w:pStyle w:val="ColorfulList-Accent12"/>
        <w:ind w:left="0"/>
        <w:rPr>
          <w:rFonts w:ascii="Arial" w:hAnsi="Arial" w:cs="Arial"/>
          <w:sz w:val="20"/>
          <w:szCs w:val="20"/>
        </w:rPr>
      </w:pPr>
    </w:p>
    <w:p w:rsidR="00C865F2" w:rsidRDefault="00C865F2" w:rsidP="00C865F2">
      <w:pPr>
        <w:tabs>
          <w:tab w:val="left" w:pos="90"/>
        </w:tabs>
        <w:jc w:val="center"/>
        <w:rPr>
          <w:rFonts w:ascii="Times New Roman" w:hAnsi="Times New Roman"/>
          <w:b/>
        </w:rPr>
      </w:pPr>
      <w:r w:rsidRPr="00CD186A">
        <w:rPr>
          <w:rFonts w:ascii="Times New Roman" w:hAnsi="Times New Roman"/>
          <w:b/>
        </w:rPr>
        <w:t xml:space="preserve"> Figure 5.2: </w:t>
      </w:r>
      <w:r>
        <w:rPr>
          <w:rFonts w:ascii="Times New Roman" w:hAnsi="Times New Roman"/>
          <w:b/>
        </w:rPr>
        <w:t>Real GDP Growth: Forecast using Autoregressive and New FCI Models (h=2)*</w:t>
      </w:r>
    </w:p>
    <w:p w:rsidR="00C865F2" w:rsidRPr="007A241D" w:rsidRDefault="00C865F2" w:rsidP="00C865F2">
      <w:pPr>
        <w:tabs>
          <w:tab w:val="left" w:pos="90"/>
          <w:tab w:val="left" w:pos="2141"/>
        </w:tabs>
        <w:rPr>
          <w:rFonts w:ascii="Times New Roman" w:hAnsi="Times New Roman"/>
          <w:b/>
        </w:rPr>
      </w:pPr>
      <w:r>
        <w:tab/>
      </w:r>
      <w:r>
        <w:tab/>
      </w:r>
      <w:r w:rsidR="00DF738F">
        <w:rPr>
          <w:noProof/>
        </w:rPr>
        <w:drawing>
          <wp:inline distT="0" distB="0" distL="0" distR="0">
            <wp:extent cx="5457825" cy="3733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cstate="print"/>
                    <a:srcRect/>
                    <a:stretch>
                      <a:fillRect/>
                    </a:stretch>
                  </pic:blipFill>
                  <pic:spPr bwMode="auto">
                    <a:xfrm>
                      <a:off x="0" y="0"/>
                      <a:ext cx="5457825" cy="3733800"/>
                    </a:xfrm>
                    <a:prstGeom prst="rect">
                      <a:avLst/>
                    </a:prstGeom>
                    <a:noFill/>
                    <a:ln w="9525">
                      <a:noFill/>
                      <a:miter lim="800000"/>
                      <a:headEnd/>
                      <a:tailEnd/>
                    </a:ln>
                  </pic:spPr>
                </pic:pic>
              </a:graphicData>
            </a:graphic>
          </wp:inline>
        </w:drawing>
      </w:r>
    </w:p>
    <w:p w:rsidR="00C865F2" w:rsidRDefault="00C865F2" w:rsidP="00C865F2">
      <w:pPr>
        <w:tabs>
          <w:tab w:val="left" w:pos="90"/>
        </w:tabs>
        <w:jc w:val="center"/>
        <w:rPr>
          <w:rFonts w:ascii="Times New Roman" w:hAnsi="Times New Roman"/>
          <w:b/>
        </w:rPr>
      </w:pPr>
    </w:p>
    <w:p w:rsidR="00C865F2" w:rsidRDefault="00C865F2" w:rsidP="00C865F2">
      <w:pPr>
        <w:tabs>
          <w:tab w:val="left" w:pos="90"/>
        </w:tabs>
        <w:jc w:val="center"/>
        <w:rPr>
          <w:rFonts w:ascii="Times New Roman" w:hAnsi="Times New Roman"/>
          <w:b/>
        </w:rPr>
      </w:pPr>
      <w:r w:rsidRPr="00CD186A">
        <w:rPr>
          <w:rFonts w:ascii="Times New Roman" w:hAnsi="Times New Roman"/>
          <w:b/>
        </w:rPr>
        <w:t>Figure 5.3</w:t>
      </w:r>
      <w:r>
        <w:rPr>
          <w:rFonts w:ascii="Times New Roman" w:hAnsi="Times New Roman"/>
          <w:b/>
        </w:rPr>
        <w:t xml:space="preserve"> a </w:t>
      </w:r>
      <w:r w:rsidRPr="00CD186A">
        <w:rPr>
          <w:rFonts w:ascii="Times New Roman" w:hAnsi="Times New Roman"/>
          <w:b/>
        </w:rPr>
        <w:t xml:space="preserve"> </w:t>
      </w:r>
      <w:r>
        <w:rPr>
          <w:rFonts w:ascii="Times New Roman" w:hAnsi="Times New Roman"/>
          <w:b/>
        </w:rPr>
        <w:t xml:space="preserve">Real GDP Growth: Forecast using SP500 and New FCI </w:t>
      </w:r>
      <w:r w:rsidRPr="00CD186A">
        <w:rPr>
          <w:rFonts w:ascii="Times New Roman" w:hAnsi="Times New Roman"/>
          <w:b/>
        </w:rPr>
        <w:t>(</w:t>
      </w:r>
      <w:r w:rsidRPr="00CD186A">
        <w:rPr>
          <w:rFonts w:ascii="Times New Roman" w:hAnsi="Times New Roman"/>
          <w:b/>
          <w:i/>
        </w:rPr>
        <w:t xml:space="preserve">h </w:t>
      </w:r>
      <w:r w:rsidRPr="00CD186A">
        <w:rPr>
          <w:rFonts w:ascii="Times New Roman" w:hAnsi="Times New Roman"/>
          <w:b/>
        </w:rPr>
        <w:t>=2)</w:t>
      </w:r>
      <w:r>
        <w:rPr>
          <w:rFonts w:ascii="Times New Roman" w:hAnsi="Times New Roman"/>
          <w:b/>
        </w:rPr>
        <w:t>*</w:t>
      </w:r>
    </w:p>
    <w:p w:rsidR="00C865F2" w:rsidRPr="005D233C" w:rsidRDefault="00DF738F" w:rsidP="00C865F2">
      <w:pPr>
        <w:tabs>
          <w:tab w:val="left" w:pos="90"/>
        </w:tabs>
        <w:jc w:val="center"/>
        <w:rPr>
          <w:b/>
          <w:noProof/>
        </w:rPr>
      </w:pPr>
      <w:r>
        <w:rPr>
          <w:noProof/>
        </w:rPr>
        <w:drawing>
          <wp:inline distT="0" distB="0" distL="0" distR="0">
            <wp:extent cx="5248275" cy="3419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cstate="print"/>
                    <a:srcRect/>
                    <a:stretch>
                      <a:fillRect/>
                    </a:stretch>
                  </pic:blipFill>
                  <pic:spPr bwMode="auto">
                    <a:xfrm>
                      <a:off x="0" y="0"/>
                      <a:ext cx="5248275" cy="3419475"/>
                    </a:xfrm>
                    <a:prstGeom prst="rect">
                      <a:avLst/>
                    </a:prstGeom>
                    <a:noFill/>
                    <a:ln w="9525">
                      <a:noFill/>
                      <a:miter lim="800000"/>
                      <a:headEnd/>
                      <a:tailEnd/>
                    </a:ln>
                  </pic:spPr>
                </pic:pic>
              </a:graphicData>
            </a:graphic>
          </wp:inline>
        </w:drawing>
      </w:r>
    </w:p>
    <w:p w:rsidR="00C865F2" w:rsidRDefault="00C865F2" w:rsidP="00EE0B4C">
      <w:pPr>
        <w:jc w:val="center"/>
        <w:rPr>
          <w:rFonts w:ascii="Times New Roman" w:hAnsi="Times New Roman"/>
          <w:b/>
        </w:rPr>
      </w:pPr>
      <w:r>
        <w:rPr>
          <w:rFonts w:ascii="Times New Roman" w:hAnsi="Times New Roman"/>
          <w:b/>
        </w:rPr>
        <w:br w:type="page"/>
      </w:r>
      <w:r w:rsidRPr="00CD186A">
        <w:rPr>
          <w:rFonts w:ascii="Times New Roman" w:hAnsi="Times New Roman"/>
          <w:b/>
        </w:rPr>
        <w:t>Figure 5.3</w:t>
      </w:r>
      <w:r>
        <w:rPr>
          <w:rFonts w:ascii="Times New Roman" w:hAnsi="Times New Roman"/>
          <w:b/>
        </w:rPr>
        <w:t xml:space="preserve"> b. </w:t>
      </w:r>
      <w:r w:rsidRPr="00CD186A">
        <w:rPr>
          <w:rFonts w:ascii="Times New Roman" w:hAnsi="Times New Roman"/>
          <w:b/>
        </w:rPr>
        <w:t xml:space="preserve"> </w:t>
      </w:r>
      <w:r>
        <w:rPr>
          <w:rFonts w:ascii="Times New Roman" w:hAnsi="Times New Roman"/>
          <w:b/>
        </w:rPr>
        <w:t xml:space="preserve">Real GDP Growth: Forecast using Alternative FCIs </w:t>
      </w:r>
      <w:r w:rsidRPr="00CD186A">
        <w:rPr>
          <w:rFonts w:ascii="Times New Roman" w:hAnsi="Times New Roman"/>
          <w:b/>
        </w:rPr>
        <w:t>(</w:t>
      </w:r>
      <w:r w:rsidRPr="00CD186A">
        <w:rPr>
          <w:rFonts w:ascii="Times New Roman" w:hAnsi="Times New Roman"/>
          <w:b/>
          <w:i/>
        </w:rPr>
        <w:t xml:space="preserve">h </w:t>
      </w:r>
      <w:r w:rsidRPr="00CD186A">
        <w:rPr>
          <w:rFonts w:ascii="Times New Roman" w:hAnsi="Times New Roman"/>
          <w:b/>
        </w:rPr>
        <w:t>=2)</w:t>
      </w:r>
      <w:r>
        <w:rPr>
          <w:rFonts w:ascii="Times New Roman" w:hAnsi="Times New Roman"/>
          <w:b/>
        </w:rPr>
        <w:t>*</w:t>
      </w:r>
    </w:p>
    <w:p w:rsidR="00C865F2" w:rsidRPr="00EB5A32" w:rsidRDefault="00C865F2" w:rsidP="00C865F2">
      <w:pPr>
        <w:tabs>
          <w:tab w:val="left" w:pos="90"/>
        </w:tabs>
        <w:jc w:val="center"/>
      </w:pPr>
    </w:p>
    <w:p w:rsidR="00C865F2" w:rsidRPr="00694C4D" w:rsidRDefault="00DF738F" w:rsidP="00C865F2">
      <w:pPr>
        <w:tabs>
          <w:tab w:val="left" w:pos="90"/>
        </w:tabs>
        <w:jc w:val="center"/>
        <w:rPr>
          <w:noProof/>
        </w:rPr>
      </w:pPr>
      <w:r>
        <w:rPr>
          <w:noProof/>
        </w:rPr>
        <w:drawing>
          <wp:inline distT="0" distB="0" distL="0" distR="0">
            <wp:extent cx="6105525" cy="46958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cstate="print"/>
                    <a:srcRect/>
                    <a:stretch>
                      <a:fillRect/>
                    </a:stretch>
                  </pic:blipFill>
                  <pic:spPr bwMode="auto">
                    <a:xfrm>
                      <a:off x="0" y="0"/>
                      <a:ext cx="6105525" cy="4695825"/>
                    </a:xfrm>
                    <a:prstGeom prst="rect">
                      <a:avLst/>
                    </a:prstGeom>
                    <a:noFill/>
                    <a:ln w="9525">
                      <a:noFill/>
                      <a:miter lim="800000"/>
                      <a:headEnd/>
                      <a:tailEnd/>
                    </a:ln>
                  </pic:spPr>
                </pic:pic>
              </a:graphicData>
            </a:graphic>
          </wp:inline>
        </w:drawing>
      </w:r>
    </w:p>
    <w:p w:rsidR="00C865F2" w:rsidRDefault="00C865F2" w:rsidP="00C865F2">
      <w:pPr>
        <w:pStyle w:val="ColorfulList-Accent12"/>
        <w:tabs>
          <w:tab w:val="left" w:pos="90"/>
        </w:tabs>
        <w:ind w:left="0"/>
        <w:jc w:val="center"/>
        <w:rPr>
          <w:b/>
          <w:szCs w:val="24"/>
        </w:rPr>
      </w:pPr>
    </w:p>
    <w:p w:rsidR="00C865F2" w:rsidRDefault="00C865F2" w:rsidP="00C865F2">
      <w:pPr>
        <w:rPr>
          <w:rFonts w:ascii="Times New Roman" w:eastAsia="Calibri" w:hAnsi="Times New Roman"/>
          <w:b/>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Pr="00A30D86" w:rsidRDefault="00C865F2" w:rsidP="00C865F2">
      <w:pPr>
        <w:pStyle w:val="ColorfulList-Accent12"/>
        <w:tabs>
          <w:tab w:val="left" w:pos="90"/>
        </w:tabs>
        <w:ind w:left="0"/>
        <w:jc w:val="center"/>
        <w:rPr>
          <w:b/>
          <w:szCs w:val="24"/>
        </w:rPr>
      </w:pPr>
      <w:r>
        <w:rPr>
          <w:b/>
          <w:szCs w:val="24"/>
        </w:rPr>
        <w:t>Table 5.2</w:t>
      </w:r>
      <w:r w:rsidRPr="00A30D86">
        <w:rPr>
          <w:b/>
          <w:szCs w:val="24"/>
        </w:rPr>
        <w:t>:</w:t>
      </w:r>
      <w:r>
        <w:rPr>
          <w:b/>
          <w:szCs w:val="24"/>
        </w:rPr>
        <w:t xml:space="preserve"> </w:t>
      </w:r>
      <w:r w:rsidRPr="00A30D86">
        <w:rPr>
          <w:b/>
          <w:szCs w:val="24"/>
        </w:rPr>
        <w:t>Relative RMSE for Subsets of Financial Indicators</w:t>
      </w:r>
    </w:p>
    <w:p w:rsidR="00C865F2" w:rsidRPr="00FB2D3D" w:rsidRDefault="00C865F2" w:rsidP="00C865F2">
      <w:pPr>
        <w:pStyle w:val="ColorfulList-Accent12"/>
        <w:tabs>
          <w:tab w:val="left" w:pos="90"/>
        </w:tabs>
        <w:ind w:left="0"/>
        <w:jc w:val="center"/>
        <w:rPr>
          <w:rFonts w:ascii="Arial" w:hAnsi="Arial" w:cs="Arial"/>
          <w:sz w:val="20"/>
          <w:szCs w:val="20"/>
        </w:rPr>
      </w:pPr>
      <w:r>
        <w:rPr>
          <w:szCs w:val="24"/>
        </w:rPr>
        <w:t xml:space="preserve">(a) </w:t>
      </w:r>
      <w:r>
        <w:rPr>
          <w:i/>
          <w:szCs w:val="24"/>
        </w:rPr>
        <w:t xml:space="preserve">h </w:t>
      </w:r>
      <w:r>
        <w:rPr>
          <w:szCs w:val="24"/>
        </w:rPr>
        <w:t>= 2</w:t>
      </w:r>
      <w:r w:rsidRPr="00FB2D3D">
        <w:rPr>
          <w:rFonts w:ascii="Arial" w:hAnsi="Arial" w:cs="Arial"/>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7"/>
        <w:gridCol w:w="960"/>
        <w:gridCol w:w="950"/>
        <w:gridCol w:w="1009"/>
        <w:gridCol w:w="1009"/>
        <w:gridCol w:w="1009"/>
        <w:gridCol w:w="1009"/>
        <w:gridCol w:w="1009"/>
        <w:gridCol w:w="914"/>
      </w:tblGrid>
      <w:tr w:rsidR="00C865F2" w:rsidRPr="00B50F02" w:rsidTr="007D13DB">
        <w:tc>
          <w:tcPr>
            <w:tcW w:w="891" w:type="pct"/>
          </w:tcPr>
          <w:p w:rsidR="00C865F2" w:rsidRPr="00B50F02" w:rsidRDefault="00C865F2" w:rsidP="007D13DB">
            <w:pPr>
              <w:rPr>
                <w:rFonts w:ascii="Arial" w:hAnsi="Arial" w:cs="Arial"/>
                <w:sz w:val="20"/>
                <w:szCs w:val="20"/>
              </w:rPr>
            </w:pPr>
            <w:r>
              <w:rPr>
                <w:rFonts w:ascii="Arial" w:hAnsi="Arial" w:cs="Arial"/>
                <w:sz w:val="20"/>
                <w:szCs w:val="20"/>
              </w:rPr>
              <w:t>Subset</w:t>
            </w:r>
          </w:p>
        </w:tc>
        <w:tc>
          <w:tcPr>
            <w:tcW w:w="501" w:type="pct"/>
          </w:tcPr>
          <w:p w:rsidR="00C865F2" w:rsidRPr="00B50F02" w:rsidRDefault="00C865F2" w:rsidP="007D13DB">
            <w:pPr>
              <w:jc w:val="center"/>
              <w:rPr>
                <w:rFonts w:ascii="Arial" w:hAnsi="Arial" w:cs="Arial"/>
                <w:sz w:val="20"/>
                <w:szCs w:val="20"/>
              </w:rPr>
            </w:pPr>
            <w:r w:rsidRPr="00B50F02">
              <w:rPr>
                <w:rFonts w:ascii="Arial" w:hAnsi="Arial" w:cs="Arial"/>
                <w:sz w:val="20"/>
                <w:szCs w:val="20"/>
              </w:rPr>
              <w:t>1970.I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1974.IV</w:t>
            </w:r>
          </w:p>
        </w:tc>
        <w:tc>
          <w:tcPr>
            <w:tcW w:w="496" w:type="pct"/>
          </w:tcPr>
          <w:p w:rsidR="00C865F2" w:rsidRPr="00B50F02" w:rsidRDefault="00C865F2" w:rsidP="007D13DB">
            <w:pPr>
              <w:jc w:val="center"/>
              <w:rPr>
                <w:rFonts w:ascii="Arial" w:hAnsi="Arial" w:cs="Arial"/>
                <w:sz w:val="20"/>
                <w:szCs w:val="20"/>
              </w:rPr>
            </w:pPr>
            <w:r w:rsidRPr="00B50F02">
              <w:rPr>
                <w:rFonts w:ascii="Arial" w:hAnsi="Arial" w:cs="Arial"/>
                <w:sz w:val="20"/>
                <w:szCs w:val="20"/>
              </w:rPr>
              <w:t>1975.I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1979.IV</w:t>
            </w:r>
          </w:p>
        </w:tc>
        <w:tc>
          <w:tcPr>
            <w:tcW w:w="527" w:type="pct"/>
          </w:tcPr>
          <w:p w:rsidR="00C865F2" w:rsidRPr="00B50F02" w:rsidRDefault="00C865F2" w:rsidP="007D13DB">
            <w:pPr>
              <w:jc w:val="center"/>
              <w:rPr>
                <w:rFonts w:ascii="Arial" w:hAnsi="Arial" w:cs="Arial"/>
                <w:sz w:val="20"/>
                <w:szCs w:val="20"/>
              </w:rPr>
            </w:pPr>
            <w:r w:rsidRPr="00B50F02">
              <w:rPr>
                <w:rFonts w:ascii="Arial" w:hAnsi="Arial" w:cs="Arial"/>
                <w:sz w:val="20"/>
                <w:szCs w:val="20"/>
              </w:rPr>
              <w:t>1980.I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1984. IV</w:t>
            </w:r>
          </w:p>
        </w:tc>
        <w:tc>
          <w:tcPr>
            <w:tcW w:w="527" w:type="pct"/>
          </w:tcPr>
          <w:p w:rsidR="00C865F2" w:rsidRPr="00B50F02" w:rsidRDefault="00C865F2" w:rsidP="007D13DB">
            <w:pPr>
              <w:jc w:val="center"/>
              <w:rPr>
                <w:rFonts w:ascii="Arial" w:hAnsi="Arial" w:cs="Arial"/>
                <w:sz w:val="20"/>
                <w:szCs w:val="20"/>
              </w:rPr>
            </w:pPr>
            <w:r w:rsidRPr="00B50F02">
              <w:rPr>
                <w:rFonts w:ascii="Arial" w:hAnsi="Arial" w:cs="Arial"/>
                <w:sz w:val="20"/>
                <w:szCs w:val="20"/>
              </w:rPr>
              <w:t>1985.I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1989. IV</w:t>
            </w:r>
          </w:p>
        </w:tc>
        <w:tc>
          <w:tcPr>
            <w:tcW w:w="527" w:type="pct"/>
          </w:tcPr>
          <w:p w:rsidR="00C865F2" w:rsidRPr="00B50F02" w:rsidRDefault="00C865F2" w:rsidP="007D13DB">
            <w:pPr>
              <w:jc w:val="center"/>
              <w:rPr>
                <w:rFonts w:ascii="Arial" w:hAnsi="Arial" w:cs="Arial"/>
                <w:sz w:val="20"/>
                <w:szCs w:val="20"/>
              </w:rPr>
            </w:pPr>
            <w:r w:rsidRPr="00B50F02">
              <w:rPr>
                <w:rFonts w:ascii="Arial" w:hAnsi="Arial" w:cs="Arial"/>
                <w:sz w:val="20"/>
                <w:szCs w:val="20"/>
              </w:rPr>
              <w:t>1990.I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1994. IV</w:t>
            </w:r>
          </w:p>
        </w:tc>
        <w:tc>
          <w:tcPr>
            <w:tcW w:w="527" w:type="pct"/>
          </w:tcPr>
          <w:p w:rsidR="00C865F2" w:rsidRPr="00B50F02" w:rsidRDefault="00C865F2" w:rsidP="007D13DB">
            <w:pPr>
              <w:jc w:val="center"/>
              <w:rPr>
                <w:rFonts w:ascii="Arial" w:hAnsi="Arial" w:cs="Arial"/>
                <w:sz w:val="20"/>
                <w:szCs w:val="20"/>
              </w:rPr>
            </w:pPr>
            <w:r w:rsidRPr="00B50F02">
              <w:rPr>
                <w:rFonts w:ascii="Arial" w:hAnsi="Arial" w:cs="Arial"/>
                <w:sz w:val="20"/>
                <w:szCs w:val="20"/>
              </w:rPr>
              <w:t>1995.I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1999. IV</w:t>
            </w:r>
          </w:p>
        </w:tc>
        <w:tc>
          <w:tcPr>
            <w:tcW w:w="527" w:type="pct"/>
          </w:tcPr>
          <w:p w:rsidR="00C865F2" w:rsidRPr="00B50F02" w:rsidRDefault="00C865F2" w:rsidP="007D13DB">
            <w:pPr>
              <w:jc w:val="center"/>
              <w:rPr>
                <w:rFonts w:ascii="Arial" w:hAnsi="Arial" w:cs="Arial"/>
                <w:sz w:val="20"/>
                <w:szCs w:val="20"/>
              </w:rPr>
            </w:pPr>
            <w:r w:rsidRPr="00B50F02">
              <w:rPr>
                <w:rFonts w:ascii="Arial" w:hAnsi="Arial" w:cs="Arial"/>
                <w:sz w:val="20"/>
                <w:szCs w:val="20"/>
              </w:rPr>
              <w:t>2000.I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2004. IV</w:t>
            </w:r>
          </w:p>
        </w:tc>
        <w:tc>
          <w:tcPr>
            <w:tcW w:w="477" w:type="pct"/>
          </w:tcPr>
          <w:p w:rsidR="00C865F2" w:rsidRPr="00B50F02" w:rsidRDefault="00C865F2" w:rsidP="007D13DB">
            <w:pPr>
              <w:jc w:val="center"/>
              <w:rPr>
                <w:rFonts w:ascii="Arial" w:hAnsi="Arial" w:cs="Arial"/>
                <w:sz w:val="20"/>
                <w:szCs w:val="20"/>
              </w:rPr>
            </w:pPr>
            <w:r w:rsidRPr="00B50F02">
              <w:rPr>
                <w:rFonts w:ascii="Arial" w:hAnsi="Arial" w:cs="Arial"/>
                <w:sz w:val="20"/>
                <w:szCs w:val="20"/>
              </w:rPr>
              <w:t>2005.I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EOS</w:t>
            </w:r>
          </w:p>
        </w:tc>
      </w:tr>
      <w:tr w:rsidR="00C865F2" w:rsidRPr="00B50F02" w:rsidTr="007D13DB">
        <w:trPr>
          <w:trHeight w:hRule="exact" w:val="244"/>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Pr>
                <w:rFonts w:ascii="Arial" w:hAnsi="Arial" w:cs="Arial"/>
                <w:i/>
                <w:sz w:val="20"/>
                <w:szCs w:val="20"/>
              </w:rPr>
              <w:t>New FCI</w:t>
            </w: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0.87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1.55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0.88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1.60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0.93 </w:t>
            </w:r>
          </w:p>
        </w:tc>
        <w:tc>
          <w:tcPr>
            <w:tcW w:w="47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0.66 </w:t>
            </w:r>
          </w:p>
        </w:tc>
      </w:tr>
      <w:tr w:rsidR="00C865F2" w:rsidRPr="00B50F02" w:rsidTr="007D13DB">
        <w:trPr>
          <w:trHeight w:hRule="exact" w:val="45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477" w:type="pct"/>
          </w:tcPr>
          <w:p w:rsidR="00C865F2" w:rsidRPr="008A2AEC" w:rsidRDefault="00C865F2" w:rsidP="007D13DB">
            <w:pPr>
              <w:jc w:val="center"/>
              <w:rPr>
                <w:rFonts w:ascii="Arial" w:hAnsi="Arial" w:cs="Arial"/>
                <w:sz w:val="20"/>
                <w:szCs w:val="20"/>
              </w:rPr>
            </w:pPr>
          </w:p>
        </w:tc>
      </w:tr>
      <w:tr w:rsidR="00C865F2" w:rsidRPr="00B50F02" w:rsidTr="007D13DB">
        <w:trPr>
          <w:trHeight w:hRule="exact" w:val="45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Balanced Panel</w:t>
            </w: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0.82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1.35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0.91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2.20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0.88 </w:t>
            </w:r>
          </w:p>
        </w:tc>
        <w:tc>
          <w:tcPr>
            <w:tcW w:w="47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0.75 </w:t>
            </w:r>
          </w:p>
        </w:tc>
      </w:tr>
      <w:tr w:rsidR="00C865F2" w:rsidRPr="00B50F02" w:rsidTr="007D13DB">
        <w:trPr>
          <w:trHeight w:hRule="exact" w:val="27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477" w:type="pct"/>
          </w:tcPr>
          <w:p w:rsidR="00C865F2" w:rsidRPr="008A2AEC" w:rsidRDefault="00C865F2" w:rsidP="007D13DB">
            <w:pPr>
              <w:jc w:val="center"/>
              <w:rPr>
                <w:rFonts w:ascii="Arial" w:hAnsi="Arial" w:cs="Arial"/>
                <w:sz w:val="20"/>
                <w:szCs w:val="20"/>
              </w:rPr>
            </w:pPr>
          </w:p>
        </w:tc>
      </w:tr>
      <w:tr w:rsidR="00C865F2" w:rsidRPr="00B50F02" w:rsidTr="007D13DB">
        <w:trPr>
          <w:trHeight w:hRule="exact" w:val="27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 xml:space="preserve">Price </w:t>
            </w: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2.29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1.13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1.54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0.82 </w:t>
            </w:r>
          </w:p>
        </w:tc>
        <w:tc>
          <w:tcPr>
            <w:tcW w:w="47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0.80 </w:t>
            </w:r>
          </w:p>
        </w:tc>
      </w:tr>
      <w:tr w:rsidR="00C865F2" w:rsidRPr="00B50F02" w:rsidTr="007D13DB">
        <w:trPr>
          <w:trHeight w:hRule="exact" w:val="253"/>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 xml:space="preserve">Quantity </w:t>
            </w: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   .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   .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   .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   . </w:t>
            </w:r>
          </w:p>
        </w:tc>
        <w:tc>
          <w:tcPr>
            <w:tcW w:w="47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1.08 </w:t>
            </w:r>
          </w:p>
        </w:tc>
      </w:tr>
      <w:tr w:rsidR="00C865F2" w:rsidRPr="00B50F02" w:rsidTr="007D13DB">
        <w:trPr>
          <w:trHeight w:hRule="exact" w:val="27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Surveys</w:t>
            </w: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   .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   .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   .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1.17 </w:t>
            </w:r>
          </w:p>
        </w:tc>
        <w:tc>
          <w:tcPr>
            <w:tcW w:w="47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0.91 </w:t>
            </w:r>
          </w:p>
        </w:tc>
      </w:tr>
      <w:tr w:rsidR="00C865F2" w:rsidRPr="00B50F02" w:rsidTr="007D13DB">
        <w:trPr>
          <w:trHeight w:hRule="exact" w:val="27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 xml:space="preserve">Liquidity </w:t>
            </w: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1.43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0.89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1.81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0.84 </w:t>
            </w:r>
          </w:p>
        </w:tc>
        <w:tc>
          <w:tcPr>
            <w:tcW w:w="47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0.98 </w:t>
            </w:r>
          </w:p>
        </w:tc>
      </w:tr>
      <w:tr w:rsidR="00C865F2" w:rsidRPr="00B50F02" w:rsidTr="007D13DB">
        <w:trPr>
          <w:trHeight w:hRule="exact" w:val="262"/>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Credit</w:t>
            </w: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   .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1.42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1.11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0.96 </w:t>
            </w:r>
          </w:p>
        </w:tc>
        <w:tc>
          <w:tcPr>
            <w:tcW w:w="47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0.90 </w:t>
            </w:r>
          </w:p>
        </w:tc>
      </w:tr>
      <w:tr w:rsidR="00C865F2" w:rsidRPr="00B50F02" w:rsidTr="007D13DB">
        <w:trPr>
          <w:trHeight w:hRule="exact" w:val="262"/>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527" w:type="pct"/>
          </w:tcPr>
          <w:p w:rsidR="00C865F2" w:rsidRPr="008A2AEC" w:rsidRDefault="00C865F2" w:rsidP="007D13DB">
            <w:pPr>
              <w:jc w:val="center"/>
              <w:rPr>
                <w:rFonts w:ascii="Arial" w:hAnsi="Arial" w:cs="Arial"/>
                <w:sz w:val="20"/>
                <w:szCs w:val="20"/>
              </w:rPr>
            </w:pPr>
          </w:p>
        </w:tc>
        <w:tc>
          <w:tcPr>
            <w:tcW w:w="477" w:type="pct"/>
          </w:tcPr>
          <w:p w:rsidR="00C865F2" w:rsidRPr="008A2AEC" w:rsidRDefault="00C865F2" w:rsidP="007D13DB">
            <w:pPr>
              <w:jc w:val="center"/>
              <w:rPr>
                <w:rFonts w:ascii="Arial" w:hAnsi="Arial" w:cs="Arial"/>
                <w:sz w:val="20"/>
                <w:szCs w:val="20"/>
              </w:rPr>
            </w:pPr>
          </w:p>
        </w:tc>
      </w:tr>
      <w:tr w:rsidR="00C865F2" w:rsidRPr="00B50F02" w:rsidTr="007D13DB">
        <w:trPr>
          <w:trHeight w:hRule="exact" w:val="982"/>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D31E4B">
              <w:rPr>
                <w:rFonts w:ascii="Arial" w:hAnsi="Arial" w:cs="Arial"/>
                <w:sz w:val="20"/>
                <w:szCs w:val="20"/>
              </w:rPr>
              <w:t xml:space="preserve">Not purged of </w:t>
            </w:r>
            <w:r>
              <w:rPr>
                <w:rFonts w:ascii="Arial" w:hAnsi="Arial" w:cs="Arial"/>
                <w:sz w:val="20"/>
                <w:szCs w:val="20"/>
              </w:rPr>
              <w:t xml:space="preserve">either </w:t>
            </w:r>
            <w:r w:rsidRPr="00D31E4B">
              <w:rPr>
                <w:rFonts w:ascii="Arial" w:hAnsi="Arial" w:cs="Arial"/>
                <w:sz w:val="20"/>
                <w:szCs w:val="20"/>
              </w:rPr>
              <w:t>macro influence</w:t>
            </w:r>
            <w:r>
              <w:rPr>
                <w:rFonts w:ascii="Arial" w:hAnsi="Arial" w:cs="Arial"/>
                <w:sz w:val="20"/>
                <w:szCs w:val="20"/>
              </w:rPr>
              <w:t xml:space="preserve"> or fed funds</w:t>
            </w: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0.73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1.38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1.08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0.97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1.10 </w:t>
            </w:r>
          </w:p>
        </w:tc>
        <w:tc>
          <w:tcPr>
            <w:tcW w:w="47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0.86 </w:t>
            </w:r>
          </w:p>
        </w:tc>
      </w:tr>
      <w:tr w:rsidR="00C865F2" w:rsidRPr="00B50F02" w:rsidTr="007D13DB">
        <w:trPr>
          <w:trHeight w:hRule="exact" w:val="712"/>
        </w:trPr>
        <w:tc>
          <w:tcPr>
            <w:tcW w:w="891" w:type="pct"/>
          </w:tcPr>
          <w:p w:rsidR="00C865F2" w:rsidRPr="00D31E4B" w:rsidRDefault="00C865F2" w:rsidP="007D13DB">
            <w:pPr>
              <w:pStyle w:val="ColorfulList-Accent12"/>
              <w:spacing w:line="240" w:lineRule="auto"/>
              <w:ind w:left="0"/>
              <w:rPr>
                <w:rFonts w:ascii="Arial" w:hAnsi="Arial" w:cs="Arial"/>
                <w:sz w:val="20"/>
                <w:szCs w:val="20"/>
              </w:rPr>
            </w:pPr>
            <w:r>
              <w:rPr>
                <w:rFonts w:ascii="Arial" w:hAnsi="Arial" w:cs="Arial"/>
                <w:sz w:val="20"/>
                <w:szCs w:val="20"/>
              </w:rPr>
              <w:t>Purged of both macro influence and fed funds</w:t>
            </w:r>
          </w:p>
        </w:tc>
        <w:tc>
          <w:tcPr>
            <w:tcW w:w="501" w:type="pct"/>
          </w:tcPr>
          <w:p w:rsidR="00C865F2" w:rsidRPr="00E74A0D" w:rsidRDefault="00C865F2" w:rsidP="007D13DB">
            <w:pPr>
              <w:pStyle w:val="ColorfulList-Accent12"/>
              <w:spacing w:line="240" w:lineRule="auto"/>
              <w:ind w:left="0"/>
              <w:rPr>
                <w:rFonts w:ascii="Arial" w:hAnsi="Arial" w:cs="Arial"/>
                <w:sz w:val="20"/>
                <w:szCs w:val="20"/>
              </w:rPr>
            </w:pPr>
          </w:p>
        </w:tc>
        <w:tc>
          <w:tcPr>
            <w:tcW w:w="496" w:type="pct"/>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1.01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1.58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0.95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1.30 </w:t>
            </w:r>
          </w:p>
        </w:tc>
        <w:tc>
          <w:tcPr>
            <w:tcW w:w="52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0.94 </w:t>
            </w:r>
          </w:p>
        </w:tc>
        <w:tc>
          <w:tcPr>
            <w:tcW w:w="477" w:type="pct"/>
          </w:tcPr>
          <w:p w:rsidR="00C865F2" w:rsidRPr="00C00308" w:rsidRDefault="00C865F2" w:rsidP="007D13DB">
            <w:pPr>
              <w:pStyle w:val="ColorfulList-Accent12"/>
              <w:ind w:left="0"/>
              <w:jc w:val="center"/>
              <w:rPr>
                <w:rFonts w:ascii="Arial" w:hAnsi="Arial" w:cs="Arial"/>
                <w:sz w:val="20"/>
                <w:szCs w:val="20"/>
              </w:rPr>
            </w:pPr>
            <w:r w:rsidRPr="00C00308">
              <w:rPr>
                <w:rFonts w:ascii="Arial" w:hAnsi="Arial" w:cs="Arial"/>
                <w:sz w:val="20"/>
                <w:szCs w:val="20"/>
              </w:rPr>
              <w:t xml:space="preserve">0.74 </w:t>
            </w:r>
          </w:p>
        </w:tc>
      </w:tr>
    </w:tbl>
    <w:p w:rsidR="00C865F2" w:rsidRDefault="00C865F2" w:rsidP="00C865F2">
      <w:pPr>
        <w:pStyle w:val="ColorfulList-Accent12"/>
        <w:tabs>
          <w:tab w:val="left" w:pos="90"/>
        </w:tabs>
        <w:spacing w:line="240" w:lineRule="auto"/>
        <w:ind w:left="0"/>
        <w:jc w:val="center"/>
        <w:rPr>
          <w:szCs w:val="24"/>
        </w:rPr>
      </w:pPr>
    </w:p>
    <w:p w:rsidR="00C865F2" w:rsidRDefault="00C865F2" w:rsidP="00C865F2">
      <w:pPr>
        <w:pStyle w:val="ColorfulList-Accent12"/>
        <w:tabs>
          <w:tab w:val="left" w:pos="90"/>
        </w:tabs>
        <w:spacing w:line="240" w:lineRule="auto"/>
        <w:ind w:left="0"/>
        <w:jc w:val="center"/>
        <w:rPr>
          <w:szCs w:val="24"/>
        </w:rPr>
      </w:pPr>
    </w:p>
    <w:p w:rsidR="00C865F2" w:rsidRDefault="00C865F2" w:rsidP="00C865F2">
      <w:pPr>
        <w:pStyle w:val="ColorfulList-Accent12"/>
        <w:tabs>
          <w:tab w:val="left" w:pos="90"/>
        </w:tabs>
        <w:spacing w:line="240" w:lineRule="auto"/>
        <w:ind w:left="0"/>
        <w:jc w:val="center"/>
        <w:rPr>
          <w:szCs w:val="24"/>
        </w:rPr>
      </w:pPr>
    </w:p>
    <w:p w:rsidR="00C865F2" w:rsidRPr="00FB2D3D" w:rsidRDefault="00C865F2" w:rsidP="00C865F2">
      <w:pPr>
        <w:pStyle w:val="ColorfulList-Accent12"/>
        <w:tabs>
          <w:tab w:val="left" w:pos="90"/>
        </w:tabs>
        <w:spacing w:line="240" w:lineRule="auto"/>
        <w:ind w:left="0"/>
        <w:jc w:val="center"/>
        <w:rPr>
          <w:rFonts w:ascii="Arial" w:hAnsi="Arial" w:cs="Arial"/>
          <w:sz w:val="20"/>
          <w:szCs w:val="20"/>
        </w:rPr>
      </w:pPr>
      <w:r>
        <w:rPr>
          <w:szCs w:val="24"/>
        </w:rPr>
        <w:t xml:space="preserve"> (b) </w:t>
      </w:r>
      <w:r>
        <w:rPr>
          <w:i/>
          <w:szCs w:val="24"/>
        </w:rPr>
        <w:t xml:space="preserve">h </w:t>
      </w:r>
      <w:r>
        <w:rPr>
          <w:szCs w:val="24"/>
        </w:rPr>
        <w:t>= 4</w:t>
      </w:r>
      <w:r w:rsidRPr="00FB2D3D">
        <w:rPr>
          <w:rFonts w:ascii="Arial" w:hAnsi="Arial" w:cs="Arial"/>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7"/>
        <w:gridCol w:w="29"/>
        <w:gridCol w:w="921"/>
        <w:gridCol w:w="25"/>
        <w:gridCol w:w="925"/>
        <w:gridCol w:w="21"/>
        <w:gridCol w:w="988"/>
        <w:gridCol w:w="17"/>
        <w:gridCol w:w="992"/>
        <w:gridCol w:w="13"/>
        <w:gridCol w:w="996"/>
        <w:gridCol w:w="10"/>
        <w:gridCol w:w="1000"/>
        <w:gridCol w:w="6"/>
        <w:gridCol w:w="1007"/>
        <w:gridCol w:w="919"/>
      </w:tblGrid>
      <w:tr w:rsidR="00C865F2" w:rsidRPr="00B50F02" w:rsidTr="007D13DB">
        <w:tc>
          <w:tcPr>
            <w:tcW w:w="891" w:type="pct"/>
          </w:tcPr>
          <w:p w:rsidR="00C865F2" w:rsidRPr="00B50F02" w:rsidRDefault="00C865F2" w:rsidP="007D13DB">
            <w:pPr>
              <w:rPr>
                <w:rFonts w:ascii="Arial" w:hAnsi="Arial" w:cs="Arial"/>
                <w:sz w:val="20"/>
                <w:szCs w:val="20"/>
              </w:rPr>
            </w:pPr>
            <w:r>
              <w:rPr>
                <w:rFonts w:ascii="Arial" w:hAnsi="Arial" w:cs="Arial"/>
                <w:sz w:val="20"/>
                <w:szCs w:val="20"/>
              </w:rPr>
              <w:t>Subset</w:t>
            </w:r>
          </w:p>
        </w:tc>
        <w:tc>
          <w:tcPr>
            <w:tcW w:w="496" w:type="pct"/>
            <w:gridSpan w:val="2"/>
          </w:tcPr>
          <w:p w:rsidR="00C865F2" w:rsidRPr="00B50F02" w:rsidRDefault="00C865F2" w:rsidP="007D13DB">
            <w:pPr>
              <w:jc w:val="center"/>
              <w:rPr>
                <w:rFonts w:ascii="Arial" w:hAnsi="Arial" w:cs="Arial"/>
                <w:sz w:val="20"/>
                <w:szCs w:val="20"/>
              </w:rPr>
            </w:pPr>
            <w:r w:rsidRPr="00B50F02">
              <w:rPr>
                <w:rFonts w:ascii="Arial" w:hAnsi="Arial" w:cs="Arial"/>
                <w:sz w:val="20"/>
                <w:szCs w:val="20"/>
              </w:rPr>
              <w:t>1970.I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1974.IV</w:t>
            </w:r>
          </w:p>
        </w:tc>
        <w:tc>
          <w:tcPr>
            <w:tcW w:w="496" w:type="pct"/>
            <w:gridSpan w:val="2"/>
          </w:tcPr>
          <w:p w:rsidR="00C865F2" w:rsidRPr="00B50F02" w:rsidRDefault="00C865F2" w:rsidP="007D13DB">
            <w:pPr>
              <w:jc w:val="center"/>
              <w:rPr>
                <w:rFonts w:ascii="Arial" w:hAnsi="Arial" w:cs="Arial"/>
                <w:sz w:val="20"/>
                <w:szCs w:val="20"/>
              </w:rPr>
            </w:pPr>
            <w:r w:rsidRPr="00B50F02">
              <w:rPr>
                <w:rFonts w:ascii="Arial" w:hAnsi="Arial" w:cs="Arial"/>
                <w:sz w:val="20"/>
                <w:szCs w:val="20"/>
              </w:rPr>
              <w:t>1975.I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1979.IV</w:t>
            </w:r>
          </w:p>
        </w:tc>
        <w:tc>
          <w:tcPr>
            <w:tcW w:w="527" w:type="pct"/>
            <w:gridSpan w:val="2"/>
          </w:tcPr>
          <w:p w:rsidR="00C865F2" w:rsidRPr="00B50F02" w:rsidRDefault="00C865F2" w:rsidP="007D13DB">
            <w:pPr>
              <w:jc w:val="center"/>
              <w:rPr>
                <w:rFonts w:ascii="Arial" w:hAnsi="Arial" w:cs="Arial"/>
                <w:sz w:val="20"/>
                <w:szCs w:val="20"/>
              </w:rPr>
            </w:pPr>
            <w:r w:rsidRPr="00B50F02">
              <w:rPr>
                <w:rFonts w:ascii="Arial" w:hAnsi="Arial" w:cs="Arial"/>
                <w:sz w:val="20"/>
                <w:szCs w:val="20"/>
              </w:rPr>
              <w:t>1980.I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1984. IV</w:t>
            </w:r>
          </w:p>
        </w:tc>
        <w:tc>
          <w:tcPr>
            <w:tcW w:w="527" w:type="pct"/>
            <w:gridSpan w:val="2"/>
          </w:tcPr>
          <w:p w:rsidR="00C865F2" w:rsidRPr="00B50F02" w:rsidRDefault="00C865F2" w:rsidP="007D13DB">
            <w:pPr>
              <w:jc w:val="center"/>
              <w:rPr>
                <w:rFonts w:ascii="Arial" w:hAnsi="Arial" w:cs="Arial"/>
                <w:sz w:val="20"/>
                <w:szCs w:val="20"/>
              </w:rPr>
            </w:pPr>
            <w:r w:rsidRPr="00B50F02">
              <w:rPr>
                <w:rFonts w:ascii="Arial" w:hAnsi="Arial" w:cs="Arial"/>
                <w:sz w:val="20"/>
                <w:szCs w:val="20"/>
              </w:rPr>
              <w:t>1985.I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1989. IV</w:t>
            </w:r>
          </w:p>
        </w:tc>
        <w:tc>
          <w:tcPr>
            <w:tcW w:w="527" w:type="pct"/>
            <w:gridSpan w:val="2"/>
          </w:tcPr>
          <w:p w:rsidR="00C865F2" w:rsidRPr="00B50F02" w:rsidRDefault="00C865F2" w:rsidP="007D13DB">
            <w:pPr>
              <w:jc w:val="center"/>
              <w:rPr>
                <w:rFonts w:ascii="Arial" w:hAnsi="Arial" w:cs="Arial"/>
                <w:sz w:val="20"/>
                <w:szCs w:val="20"/>
              </w:rPr>
            </w:pPr>
            <w:r w:rsidRPr="00B50F02">
              <w:rPr>
                <w:rFonts w:ascii="Arial" w:hAnsi="Arial" w:cs="Arial"/>
                <w:sz w:val="20"/>
                <w:szCs w:val="20"/>
              </w:rPr>
              <w:t>1990.I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1994. IV</w:t>
            </w:r>
          </w:p>
        </w:tc>
        <w:tc>
          <w:tcPr>
            <w:tcW w:w="527" w:type="pct"/>
            <w:gridSpan w:val="2"/>
          </w:tcPr>
          <w:p w:rsidR="00C865F2" w:rsidRPr="00B50F02" w:rsidRDefault="00C865F2" w:rsidP="007D13DB">
            <w:pPr>
              <w:jc w:val="center"/>
              <w:rPr>
                <w:rFonts w:ascii="Arial" w:hAnsi="Arial" w:cs="Arial"/>
                <w:sz w:val="20"/>
                <w:szCs w:val="20"/>
              </w:rPr>
            </w:pPr>
            <w:r w:rsidRPr="00B50F02">
              <w:rPr>
                <w:rFonts w:ascii="Arial" w:hAnsi="Arial" w:cs="Arial"/>
                <w:sz w:val="20"/>
                <w:szCs w:val="20"/>
              </w:rPr>
              <w:t>1995.I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1999. IV</w:t>
            </w:r>
          </w:p>
        </w:tc>
        <w:tc>
          <w:tcPr>
            <w:tcW w:w="529" w:type="pct"/>
            <w:gridSpan w:val="2"/>
          </w:tcPr>
          <w:p w:rsidR="00C865F2" w:rsidRPr="00B50F02" w:rsidRDefault="00C865F2" w:rsidP="007D13DB">
            <w:pPr>
              <w:jc w:val="center"/>
              <w:rPr>
                <w:rFonts w:ascii="Arial" w:hAnsi="Arial" w:cs="Arial"/>
                <w:sz w:val="20"/>
                <w:szCs w:val="20"/>
              </w:rPr>
            </w:pPr>
            <w:r w:rsidRPr="00B50F02">
              <w:rPr>
                <w:rFonts w:ascii="Arial" w:hAnsi="Arial" w:cs="Arial"/>
                <w:sz w:val="20"/>
                <w:szCs w:val="20"/>
              </w:rPr>
              <w:t>2000.I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2004. IV</w:t>
            </w:r>
          </w:p>
        </w:tc>
        <w:tc>
          <w:tcPr>
            <w:tcW w:w="480" w:type="pct"/>
          </w:tcPr>
          <w:p w:rsidR="00C865F2" w:rsidRPr="00B50F02" w:rsidRDefault="00C865F2" w:rsidP="007D13DB">
            <w:pPr>
              <w:jc w:val="center"/>
              <w:rPr>
                <w:rFonts w:ascii="Arial" w:hAnsi="Arial" w:cs="Arial"/>
                <w:sz w:val="20"/>
                <w:szCs w:val="20"/>
              </w:rPr>
            </w:pPr>
            <w:r w:rsidRPr="00B50F02">
              <w:rPr>
                <w:rFonts w:ascii="Arial" w:hAnsi="Arial" w:cs="Arial"/>
                <w:sz w:val="20"/>
                <w:szCs w:val="20"/>
              </w:rPr>
              <w:t>2005.I -</w:t>
            </w:r>
          </w:p>
          <w:p w:rsidR="00C865F2" w:rsidRPr="00B50F02" w:rsidRDefault="00C865F2" w:rsidP="007D13DB">
            <w:pPr>
              <w:jc w:val="center"/>
              <w:rPr>
                <w:rFonts w:ascii="Arial" w:hAnsi="Arial" w:cs="Arial"/>
                <w:sz w:val="20"/>
                <w:szCs w:val="20"/>
              </w:rPr>
            </w:pPr>
            <w:r w:rsidRPr="00B50F02">
              <w:rPr>
                <w:rFonts w:ascii="Arial" w:hAnsi="Arial" w:cs="Arial"/>
                <w:sz w:val="20"/>
                <w:szCs w:val="20"/>
              </w:rPr>
              <w:t>EOS</w:t>
            </w:r>
          </w:p>
        </w:tc>
      </w:tr>
      <w:tr w:rsidR="00C865F2" w:rsidRPr="00B50F02" w:rsidTr="007D13DB">
        <w:trPr>
          <w:trHeight w:hRule="exact" w:val="244"/>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Pr>
                <w:rFonts w:ascii="Arial" w:hAnsi="Arial" w:cs="Arial"/>
                <w:i/>
                <w:sz w:val="20"/>
                <w:szCs w:val="20"/>
              </w:rPr>
              <w:t>New FCI</w:t>
            </w:r>
          </w:p>
        </w:tc>
        <w:tc>
          <w:tcPr>
            <w:tcW w:w="496" w:type="pct"/>
            <w:gridSpan w:val="2"/>
          </w:tcPr>
          <w:p w:rsidR="00C865F2" w:rsidRPr="00E74A0D" w:rsidRDefault="00C865F2" w:rsidP="007D13DB">
            <w:pPr>
              <w:pStyle w:val="ColorfulList-Accent12"/>
              <w:spacing w:line="240" w:lineRule="auto"/>
              <w:ind w:left="0"/>
              <w:rPr>
                <w:rFonts w:ascii="Arial" w:hAnsi="Arial" w:cs="Arial"/>
                <w:sz w:val="20"/>
                <w:szCs w:val="20"/>
              </w:rPr>
            </w:pPr>
          </w:p>
        </w:tc>
        <w:tc>
          <w:tcPr>
            <w:tcW w:w="496" w:type="pct"/>
            <w:gridSpan w:val="2"/>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gridSpan w:val="2"/>
          </w:tcPr>
          <w:p w:rsidR="00C865F2" w:rsidRPr="00904E90" w:rsidRDefault="00C865F2" w:rsidP="007D13DB">
            <w:pPr>
              <w:jc w:val="center"/>
              <w:rPr>
                <w:rFonts w:ascii="Arial" w:hAnsi="Arial" w:cs="Arial"/>
                <w:sz w:val="20"/>
                <w:szCs w:val="20"/>
              </w:rPr>
            </w:pPr>
            <w:r w:rsidRPr="00904E90">
              <w:rPr>
                <w:rFonts w:ascii="Arial" w:hAnsi="Arial" w:cs="Arial"/>
                <w:sz w:val="20"/>
                <w:szCs w:val="20"/>
              </w:rPr>
              <w:t>1.08</w:t>
            </w:r>
          </w:p>
        </w:tc>
        <w:tc>
          <w:tcPr>
            <w:tcW w:w="527" w:type="pct"/>
            <w:gridSpan w:val="2"/>
          </w:tcPr>
          <w:p w:rsidR="00C865F2" w:rsidRPr="00904E90" w:rsidRDefault="00C865F2" w:rsidP="007D13DB">
            <w:pPr>
              <w:jc w:val="center"/>
              <w:rPr>
                <w:rFonts w:ascii="Arial" w:hAnsi="Arial" w:cs="Arial"/>
                <w:sz w:val="20"/>
                <w:szCs w:val="20"/>
              </w:rPr>
            </w:pPr>
            <w:r w:rsidRPr="00904E90">
              <w:rPr>
                <w:rFonts w:ascii="Arial" w:hAnsi="Arial" w:cs="Arial"/>
                <w:sz w:val="20"/>
                <w:szCs w:val="20"/>
              </w:rPr>
              <w:t>1.40</w:t>
            </w:r>
          </w:p>
        </w:tc>
        <w:tc>
          <w:tcPr>
            <w:tcW w:w="527" w:type="pct"/>
            <w:gridSpan w:val="2"/>
          </w:tcPr>
          <w:p w:rsidR="00C865F2" w:rsidRPr="00904E90" w:rsidRDefault="00C865F2" w:rsidP="007D13DB">
            <w:pPr>
              <w:jc w:val="center"/>
              <w:rPr>
                <w:rFonts w:ascii="Arial" w:hAnsi="Arial" w:cs="Arial"/>
                <w:sz w:val="20"/>
                <w:szCs w:val="20"/>
              </w:rPr>
            </w:pPr>
            <w:r w:rsidRPr="00904E90">
              <w:rPr>
                <w:rFonts w:ascii="Arial" w:hAnsi="Arial" w:cs="Arial"/>
                <w:sz w:val="20"/>
                <w:szCs w:val="20"/>
              </w:rPr>
              <w:t>0.81</w:t>
            </w:r>
          </w:p>
        </w:tc>
        <w:tc>
          <w:tcPr>
            <w:tcW w:w="527" w:type="pct"/>
            <w:gridSpan w:val="2"/>
          </w:tcPr>
          <w:p w:rsidR="00C865F2" w:rsidRPr="00904E90" w:rsidRDefault="00C865F2" w:rsidP="007D13DB">
            <w:pPr>
              <w:jc w:val="center"/>
              <w:rPr>
                <w:rFonts w:ascii="Arial" w:hAnsi="Arial" w:cs="Arial"/>
                <w:sz w:val="20"/>
                <w:szCs w:val="20"/>
              </w:rPr>
            </w:pPr>
            <w:r w:rsidRPr="00904E90">
              <w:rPr>
                <w:rFonts w:ascii="Arial" w:hAnsi="Arial" w:cs="Arial"/>
                <w:sz w:val="20"/>
                <w:szCs w:val="20"/>
              </w:rPr>
              <w:t>1.93</w:t>
            </w:r>
          </w:p>
        </w:tc>
        <w:tc>
          <w:tcPr>
            <w:tcW w:w="529" w:type="pct"/>
            <w:gridSpan w:val="2"/>
          </w:tcPr>
          <w:p w:rsidR="00C865F2" w:rsidRPr="00904E90" w:rsidRDefault="00C865F2" w:rsidP="007D13DB">
            <w:pPr>
              <w:jc w:val="center"/>
              <w:rPr>
                <w:rFonts w:ascii="Arial" w:hAnsi="Arial" w:cs="Arial"/>
                <w:sz w:val="20"/>
                <w:szCs w:val="20"/>
              </w:rPr>
            </w:pPr>
            <w:r w:rsidRPr="00904E90">
              <w:rPr>
                <w:rFonts w:ascii="Arial" w:hAnsi="Arial" w:cs="Arial"/>
                <w:sz w:val="20"/>
                <w:szCs w:val="20"/>
              </w:rPr>
              <w:t>0.77</w:t>
            </w:r>
          </w:p>
        </w:tc>
        <w:tc>
          <w:tcPr>
            <w:tcW w:w="480" w:type="pct"/>
          </w:tcPr>
          <w:p w:rsidR="00C865F2" w:rsidRPr="00904E90" w:rsidRDefault="00C865F2" w:rsidP="007D13DB">
            <w:pPr>
              <w:jc w:val="center"/>
              <w:rPr>
                <w:rFonts w:ascii="Arial" w:hAnsi="Arial" w:cs="Arial"/>
                <w:sz w:val="20"/>
                <w:szCs w:val="20"/>
              </w:rPr>
            </w:pPr>
            <w:r w:rsidRPr="00904E90">
              <w:rPr>
                <w:rFonts w:ascii="Arial" w:hAnsi="Arial" w:cs="Arial"/>
                <w:sz w:val="20"/>
                <w:szCs w:val="20"/>
              </w:rPr>
              <w:t>0.60</w:t>
            </w:r>
          </w:p>
        </w:tc>
      </w:tr>
      <w:tr w:rsidR="00C865F2" w:rsidRPr="00B50F02" w:rsidTr="007D13DB">
        <w:trPr>
          <w:trHeight w:hRule="exact" w:val="45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p>
        </w:tc>
        <w:tc>
          <w:tcPr>
            <w:tcW w:w="496" w:type="pct"/>
            <w:gridSpan w:val="2"/>
          </w:tcPr>
          <w:p w:rsidR="00C865F2" w:rsidRPr="00E74A0D" w:rsidRDefault="00C865F2" w:rsidP="007D13DB">
            <w:pPr>
              <w:pStyle w:val="ColorfulList-Accent12"/>
              <w:spacing w:line="240" w:lineRule="auto"/>
              <w:ind w:left="0"/>
              <w:rPr>
                <w:rFonts w:ascii="Arial" w:hAnsi="Arial" w:cs="Arial"/>
                <w:sz w:val="20"/>
                <w:szCs w:val="20"/>
              </w:rPr>
            </w:pPr>
          </w:p>
        </w:tc>
        <w:tc>
          <w:tcPr>
            <w:tcW w:w="496" w:type="pct"/>
            <w:gridSpan w:val="2"/>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9" w:type="pct"/>
            <w:gridSpan w:val="2"/>
          </w:tcPr>
          <w:p w:rsidR="00C865F2" w:rsidRPr="008A2AEC" w:rsidRDefault="00C865F2" w:rsidP="007D13DB">
            <w:pPr>
              <w:jc w:val="center"/>
              <w:rPr>
                <w:rFonts w:ascii="Arial" w:hAnsi="Arial" w:cs="Arial"/>
                <w:sz w:val="20"/>
                <w:szCs w:val="20"/>
              </w:rPr>
            </w:pPr>
          </w:p>
        </w:tc>
        <w:tc>
          <w:tcPr>
            <w:tcW w:w="480" w:type="pct"/>
          </w:tcPr>
          <w:p w:rsidR="00C865F2" w:rsidRPr="008A2AEC" w:rsidRDefault="00C865F2" w:rsidP="007D13DB">
            <w:pPr>
              <w:jc w:val="center"/>
              <w:rPr>
                <w:rFonts w:ascii="Arial" w:hAnsi="Arial" w:cs="Arial"/>
                <w:sz w:val="20"/>
                <w:szCs w:val="20"/>
              </w:rPr>
            </w:pPr>
          </w:p>
        </w:tc>
      </w:tr>
      <w:tr w:rsidR="00C865F2" w:rsidRPr="00B50F02" w:rsidTr="007D13DB">
        <w:trPr>
          <w:trHeight w:hRule="exact" w:val="45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Balanced Panel</w:t>
            </w:r>
          </w:p>
        </w:tc>
        <w:tc>
          <w:tcPr>
            <w:tcW w:w="496" w:type="pct"/>
            <w:gridSpan w:val="2"/>
          </w:tcPr>
          <w:p w:rsidR="00C865F2" w:rsidRPr="00E74A0D" w:rsidRDefault="00C865F2" w:rsidP="007D13DB">
            <w:pPr>
              <w:pStyle w:val="ColorfulList-Accent12"/>
              <w:spacing w:line="240" w:lineRule="auto"/>
              <w:ind w:left="0"/>
              <w:rPr>
                <w:rFonts w:ascii="Arial" w:hAnsi="Arial" w:cs="Arial"/>
                <w:sz w:val="20"/>
                <w:szCs w:val="20"/>
              </w:rPr>
            </w:pPr>
          </w:p>
        </w:tc>
        <w:tc>
          <w:tcPr>
            <w:tcW w:w="496" w:type="pct"/>
            <w:gridSpan w:val="2"/>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0.85</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1.22</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0.90</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3.01</w:t>
            </w:r>
          </w:p>
        </w:tc>
        <w:tc>
          <w:tcPr>
            <w:tcW w:w="529"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0.73</w:t>
            </w:r>
          </w:p>
        </w:tc>
        <w:tc>
          <w:tcPr>
            <w:tcW w:w="480" w:type="pct"/>
          </w:tcPr>
          <w:p w:rsidR="00C865F2" w:rsidRPr="0079283B" w:rsidRDefault="00C865F2" w:rsidP="007D13DB">
            <w:pPr>
              <w:jc w:val="center"/>
              <w:rPr>
                <w:rFonts w:ascii="Arial" w:hAnsi="Arial" w:cs="Arial"/>
                <w:sz w:val="20"/>
                <w:szCs w:val="20"/>
              </w:rPr>
            </w:pPr>
            <w:r w:rsidRPr="0079283B">
              <w:rPr>
                <w:rFonts w:ascii="Arial" w:hAnsi="Arial" w:cs="Arial"/>
                <w:sz w:val="20"/>
                <w:szCs w:val="20"/>
              </w:rPr>
              <w:t>0.68</w:t>
            </w:r>
          </w:p>
        </w:tc>
      </w:tr>
      <w:tr w:rsidR="00C865F2" w:rsidRPr="00B50F02" w:rsidTr="007D13DB">
        <w:trPr>
          <w:trHeight w:hRule="exact" w:val="27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p>
        </w:tc>
        <w:tc>
          <w:tcPr>
            <w:tcW w:w="496" w:type="pct"/>
            <w:gridSpan w:val="2"/>
          </w:tcPr>
          <w:p w:rsidR="00C865F2" w:rsidRPr="00E74A0D" w:rsidRDefault="00C865F2" w:rsidP="007D13DB">
            <w:pPr>
              <w:pStyle w:val="ColorfulList-Accent12"/>
              <w:spacing w:line="240" w:lineRule="auto"/>
              <w:ind w:left="0"/>
              <w:rPr>
                <w:rFonts w:ascii="Arial" w:hAnsi="Arial" w:cs="Arial"/>
                <w:sz w:val="20"/>
                <w:szCs w:val="20"/>
              </w:rPr>
            </w:pPr>
          </w:p>
        </w:tc>
        <w:tc>
          <w:tcPr>
            <w:tcW w:w="496" w:type="pct"/>
            <w:gridSpan w:val="2"/>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9" w:type="pct"/>
            <w:gridSpan w:val="2"/>
          </w:tcPr>
          <w:p w:rsidR="00C865F2" w:rsidRPr="008A2AEC" w:rsidRDefault="00C865F2" w:rsidP="007D13DB">
            <w:pPr>
              <w:jc w:val="center"/>
              <w:rPr>
                <w:rFonts w:ascii="Arial" w:hAnsi="Arial" w:cs="Arial"/>
                <w:sz w:val="20"/>
                <w:szCs w:val="20"/>
              </w:rPr>
            </w:pPr>
          </w:p>
        </w:tc>
        <w:tc>
          <w:tcPr>
            <w:tcW w:w="480" w:type="pct"/>
          </w:tcPr>
          <w:p w:rsidR="00C865F2" w:rsidRPr="008A2AEC" w:rsidRDefault="00C865F2" w:rsidP="007D13DB">
            <w:pPr>
              <w:jc w:val="center"/>
              <w:rPr>
                <w:rFonts w:ascii="Arial" w:hAnsi="Arial" w:cs="Arial"/>
                <w:sz w:val="20"/>
                <w:szCs w:val="20"/>
              </w:rPr>
            </w:pPr>
          </w:p>
        </w:tc>
      </w:tr>
      <w:tr w:rsidR="00C865F2" w:rsidRPr="00B50F02" w:rsidTr="007D13DB">
        <w:trPr>
          <w:trHeight w:hRule="exact" w:val="27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 xml:space="preserve">Price </w:t>
            </w:r>
          </w:p>
        </w:tc>
        <w:tc>
          <w:tcPr>
            <w:tcW w:w="496" w:type="pct"/>
            <w:gridSpan w:val="2"/>
          </w:tcPr>
          <w:p w:rsidR="00C865F2" w:rsidRPr="00E74A0D" w:rsidRDefault="00C865F2" w:rsidP="007D13DB">
            <w:pPr>
              <w:pStyle w:val="ColorfulList-Accent12"/>
              <w:spacing w:line="240" w:lineRule="auto"/>
              <w:ind w:left="0"/>
              <w:rPr>
                <w:rFonts w:ascii="Arial" w:hAnsi="Arial" w:cs="Arial"/>
                <w:sz w:val="20"/>
                <w:szCs w:val="20"/>
              </w:rPr>
            </w:pPr>
          </w:p>
        </w:tc>
        <w:tc>
          <w:tcPr>
            <w:tcW w:w="496" w:type="pct"/>
            <w:gridSpan w:val="2"/>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0.97</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1.04</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1.61</w:t>
            </w:r>
          </w:p>
        </w:tc>
        <w:tc>
          <w:tcPr>
            <w:tcW w:w="529"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0.75</w:t>
            </w:r>
          </w:p>
        </w:tc>
        <w:tc>
          <w:tcPr>
            <w:tcW w:w="480" w:type="pct"/>
          </w:tcPr>
          <w:p w:rsidR="00C865F2" w:rsidRPr="0079283B" w:rsidRDefault="00C865F2" w:rsidP="007D13DB">
            <w:pPr>
              <w:jc w:val="center"/>
              <w:rPr>
                <w:rFonts w:ascii="Arial" w:hAnsi="Arial" w:cs="Arial"/>
                <w:sz w:val="20"/>
                <w:szCs w:val="20"/>
              </w:rPr>
            </w:pPr>
            <w:r w:rsidRPr="0079283B">
              <w:rPr>
                <w:rFonts w:ascii="Arial" w:hAnsi="Arial" w:cs="Arial"/>
                <w:sz w:val="20"/>
                <w:szCs w:val="20"/>
              </w:rPr>
              <w:t>0.72</w:t>
            </w:r>
          </w:p>
        </w:tc>
      </w:tr>
      <w:tr w:rsidR="00C865F2" w:rsidRPr="00B50F02" w:rsidTr="007D13DB">
        <w:trPr>
          <w:trHeight w:hRule="exact" w:val="253"/>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 xml:space="preserve">Quantity </w:t>
            </w:r>
          </w:p>
        </w:tc>
        <w:tc>
          <w:tcPr>
            <w:tcW w:w="496" w:type="pct"/>
            <w:gridSpan w:val="2"/>
          </w:tcPr>
          <w:p w:rsidR="00C865F2" w:rsidRPr="00E74A0D" w:rsidRDefault="00C865F2" w:rsidP="007D13DB">
            <w:pPr>
              <w:pStyle w:val="ColorfulList-Accent12"/>
              <w:spacing w:line="240" w:lineRule="auto"/>
              <w:ind w:left="0"/>
              <w:rPr>
                <w:rFonts w:ascii="Arial" w:hAnsi="Arial" w:cs="Arial"/>
                <w:sz w:val="20"/>
                <w:szCs w:val="20"/>
              </w:rPr>
            </w:pPr>
          </w:p>
        </w:tc>
        <w:tc>
          <w:tcPr>
            <w:tcW w:w="496" w:type="pct"/>
            <w:gridSpan w:val="2"/>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w:t>
            </w:r>
          </w:p>
        </w:tc>
        <w:tc>
          <w:tcPr>
            <w:tcW w:w="529"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w:t>
            </w:r>
          </w:p>
        </w:tc>
        <w:tc>
          <w:tcPr>
            <w:tcW w:w="480" w:type="pct"/>
          </w:tcPr>
          <w:p w:rsidR="00C865F2" w:rsidRPr="0079283B" w:rsidRDefault="00C865F2" w:rsidP="007D13DB">
            <w:pPr>
              <w:jc w:val="center"/>
              <w:rPr>
                <w:rFonts w:ascii="Arial" w:hAnsi="Arial" w:cs="Arial"/>
                <w:sz w:val="20"/>
                <w:szCs w:val="20"/>
              </w:rPr>
            </w:pPr>
            <w:r w:rsidRPr="0079283B">
              <w:rPr>
                <w:rFonts w:ascii="Arial" w:hAnsi="Arial" w:cs="Arial"/>
                <w:sz w:val="20"/>
                <w:szCs w:val="20"/>
              </w:rPr>
              <w:t>0.80</w:t>
            </w:r>
          </w:p>
        </w:tc>
      </w:tr>
      <w:tr w:rsidR="00C865F2" w:rsidRPr="00B50F02" w:rsidTr="007D13DB">
        <w:trPr>
          <w:trHeight w:hRule="exact" w:val="27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Surveys</w:t>
            </w:r>
          </w:p>
        </w:tc>
        <w:tc>
          <w:tcPr>
            <w:tcW w:w="496" w:type="pct"/>
            <w:gridSpan w:val="2"/>
          </w:tcPr>
          <w:p w:rsidR="00C865F2" w:rsidRPr="00E74A0D" w:rsidRDefault="00C865F2" w:rsidP="007D13DB">
            <w:pPr>
              <w:pStyle w:val="ColorfulList-Accent12"/>
              <w:spacing w:line="240" w:lineRule="auto"/>
              <w:ind w:left="0"/>
              <w:rPr>
                <w:rFonts w:ascii="Arial" w:hAnsi="Arial" w:cs="Arial"/>
                <w:sz w:val="20"/>
                <w:szCs w:val="20"/>
              </w:rPr>
            </w:pPr>
          </w:p>
        </w:tc>
        <w:tc>
          <w:tcPr>
            <w:tcW w:w="496" w:type="pct"/>
            <w:gridSpan w:val="2"/>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w:t>
            </w:r>
          </w:p>
        </w:tc>
        <w:tc>
          <w:tcPr>
            <w:tcW w:w="529"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1.62</w:t>
            </w:r>
          </w:p>
        </w:tc>
        <w:tc>
          <w:tcPr>
            <w:tcW w:w="480" w:type="pct"/>
          </w:tcPr>
          <w:p w:rsidR="00C865F2" w:rsidRPr="0079283B" w:rsidRDefault="00C865F2" w:rsidP="007D13DB">
            <w:pPr>
              <w:jc w:val="center"/>
              <w:rPr>
                <w:rFonts w:ascii="Arial" w:hAnsi="Arial" w:cs="Arial"/>
                <w:sz w:val="20"/>
                <w:szCs w:val="20"/>
              </w:rPr>
            </w:pPr>
            <w:r w:rsidRPr="0079283B">
              <w:rPr>
                <w:rFonts w:ascii="Arial" w:hAnsi="Arial" w:cs="Arial"/>
                <w:sz w:val="20"/>
                <w:szCs w:val="20"/>
              </w:rPr>
              <w:t>0.77</w:t>
            </w:r>
          </w:p>
        </w:tc>
      </w:tr>
      <w:tr w:rsidR="00C865F2" w:rsidRPr="00B50F02" w:rsidTr="007D13DB">
        <w:trPr>
          <w:trHeight w:hRule="exact" w:val="271"/>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 xml:space="preserve">Liquidity </w:t>
            </w:r>
          </w:p>
        </w:tc>
        <w:tc>
          <w:tcPr>
            <w:tcW w:w="496" w:type="pct"/>
            <w:gridSpan w:val="2"/>
          </w:tcPr>
          <w:p w:rsidR="00C865F2" w:rsidRPr="00E74A0D" w:rsidRDefault="00C865F2" w:rsidP="007D13DB">
            <w:pPr>
              <w:pStyle w:val="ColorfulList-Accent12"/>
              <w:spacing w:line="240" w:lineRule="auto"/>
              <w:ind w:left="0"/>
              <w:rPr>
                <w:rFonts w:ascii="Arial" w:hAnsi="Arial" w:cs="Arial"/>
                <w:sz w:val="20"/>
                <w:szCs w:val="20"/>
              </w:rPr>
            </w:pPr>
          </w:p>
        </w:tc>
        <w:tc>
          <w:tcPr>
            <w:tcW w:w="496" w:type="pct"/>
            <w:gridSpan w:val="2"/>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0.85</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0.72</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2.95</w:t>
            </w:r>
          </w:p>
        </w:tc>
        <w:tc>
          <w:tcPr>
            <w:tcW w:w="529"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0.75</w:t>
            </w:r>
          </w:p>
        </w:tc>
        <w:tc>
          <w:tcPr>
            <w:tcW w:w="480" w:type="pct"/>
          </w:tcPr>
          <w:p w:rsidR="00C865F2" w:rsidRPr="0079283B" w:rsidRDefault="00C865F2" w:rsidP="007D13DB">
            <w:pPr>
              <w:jc w:val="center"/>
              <w:rPr>
                <w:rFonts w:ascii="Arial" w:hAnsi="Arial" w:cs="Arial"/>
                <w:sz w:val="20"/>
                <w:szCs w:val="20"/>
              </w:rPr>
            </w:pPr>
            <w:r w:rsidRPr="0079283B">
              <w:rPr>
                <w:rFonts w:ascii="Arial" w:hAnsi="Arial" w:cs="Arial"/>
                <w:sz w:val="20"/>
                <w:szCs w:val="20"/>
              </w:rPr>
              <w:t>0.87</w:t>
            </w:r>
          </w:p>
        </w:tc>
      </w:tr>
      <w:tr w:rsidR="00C865F2" w:rsidRPr="00B50F02" w:rsidTr="007D13DB">
        <w:trPr>
          <w:trHeight w:hRule="exact" w:val="262"/>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r w:rsidRPr="00E74A0D">
              <w:rPr>
                <w:rFonts w:ascii="Arial" w:hAnsi="Arial" w:cs="Arial"/>
                <w:i/>
                <w:sz w:val="20"/>
                <w:szCs w:val="20"/>
              </w:rPr>
              <w:t>Credit</w:t>
            </w:r>
          </w:p>
        </w:tc>
        <w:tc>
          <w:tcPr>
            <w:tcW w:w="496" w:type="pct"/>
            <w:gridSpan w:val="2"/>
          </w:tcPr>
          <w:p w:rsidR="00C865F2" w:rsidRPr="00E74A0D" w:rsidRDefault="00C865F2" w:rsidP="007D13DB">
            <w:pPr>
              <w:pStyle w:val="ColorfulList-Accent12"/>
              <w:spacing w:line="240" w:lineRule="auto"/>
              <w:ind w:left="0"/>
              <w:rPr>
                <w:rFonts w:ascii="Arial" w:hAnsi="Arial" w:cs="Arial"/>
                <w:sz w:val="20"/>
                <w:szCs w:val="20"/>
              </w:rPr>
            </w:pPr>
          </w:p>
        </w:tc>
        <w:tc>
          <w:tcPr>
            <w:tcW w:w="496" w:type="pct"/>
            <w:gridSpan w:val="2"/>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1.50</w:t>
            </w:r>
          </w:p>
        </w:tc>
        <w:tc>
          <w:tcPr>
            <w:tcW w:w="527"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1.19</w:t>
            </w:r>
          </w:p>
        </w:tc>
        <w:tc>
          <w:tcPr>
            <w:tcW w:w="529"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0.92</w:t>
            </w:r>
          </w:p>
        </w:tc>
        <w:tc>
          <w:tcPr>
            <w:tcW w:w="480" w:type="pct"/>
          </w:tcPr>
          <w:p w:rsidR="00C865F2" w:rsidRPr="0079283B" w:rsidRDefault="00C865F2" w:rsidP="007D13DB">
            <w:pPr>
              <w:jc w:val="center"/>
              <w:rPr>
                <w:rFonts w:ascii="Arial" w:hAnsi="Arial" w:cs="Arial"/>
                <w:sz w:val="20"/>
                <w:szCs w:val="20"/>
              </w:rPr>
            </w:pPr>
            <w:r w:rsidRPr="0079283B">
              <w:rPr>
                <w:rFonts w:ascii="Arial" w:hAnsi="Arial" w:cs="Arial"/>
                <w:sz w:val="20"/>
                <w:szCs w:val="20"/>
              </w:rPr>
              <w:t>0.89</w:t>
            </w:r>
          </w:p>
        </w:tc>
      </w:tr>
      <w:tr w:rsidR="00C865F2" w:rsidRPr="00B50F02" w:rsidTr="007D13DB">
        <w:trPr>
          <w:trHeight w:hRule="exact" w:val="262"/>
        </w:trPr>
        <w:tc>
          <w:tcPr>
            <w:tcW w:w="891" w:type="pct"/>
          </w:tcPr>
          <w:p w:rsidR="00C865F2" w:rsidRPr="00E74A0D" w:rsidRDefault="00C865F2" w:rsidP="007D13DB">
            <w:pPr>
              <w:pStyle w:val="ColorfulList-Accent12"/>
              <w:spacing w:line="240" w:lineRule="auto"/>
              <w:ind w:left="0"/>
              <w:rPr>
                <w:rFonts w:ascii="Arial" w:hAnsi="Arial" w:cs="Arial"/>
                <w:i/>
                <w:sz w:val="20"/>
                <w:szCs w:val="20"/>
              </w:rPr>
            </w:pPr>
          </w:p>
        </w:tc>
        <w:tc>
          <w:tcPr>
            <w:tcW w:w="496" w:type="pct"/>
            <w:gridSpan w:val="2"/>
          </w:tcPr>
          <w:p w:rsidR="00C865F2" w:rsidRPr="00E74A0D" w:rsidRDefault="00C865F2" w:rsidP="007D13DB">
            <w:pPr>
              <w:pStyle w:val="ColorfulList-Accent12"/>
              <w:spacing w:line="240" w:lineRule="auto"/>
              <w:ind w:left="0"/>
              <w:rPr>
                <w:rFonts w:ascii="Arial" w:hAnsi="Arial" w:cs="Arial"/>
                <w:sz w:val="20"/>
                <w:szCs w:val="20"/>
              </w:rPr>
            </w:pPr>
          </w:p>
        </w:tc>
        <w:tc>
          <w:tcPr>
            <w:tcW w:w="496" w:type="pct"/>
            <w:gridSpan w:val="2"/>
          </w:tcPr>
          <w:p w:rsidR="00C865F2" w:rsidRPr="00E74A0D" w:rsidRDefault="00C865F2" w:rsidP="007D13DB">
            <w:pPr>
              <w:pStyle w:val="ColorfulList-Accent12"/>
              <w:spacing w:line="240" w:lineRule="auto"/>
              <w:ind w:left="0"/>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7" w:type="pct"/>
            <w:gridSpan w:val="2"/>
          </w:tcPr>
          <w:p w:rsidR="00C865F2" w:rsidRPr="008A2AEC" w:rsidRDefault="00C865F2" w:rsidP="007D13DB">
            <w:pPr>
              <w:jc w:val="center"/>
              <w:rPr>
                <w:rFonts w:ascii="Arial" w:hAnsi="Arial" w:cs="Arial"/>
                <w:sz w:val="20"/>
                <w:szCs w:val="20"/>
              </w:rPr>
            </w:pPr>
          </w:p>
        </w:tc>
        <w:tc>
          <w:tcPr>
            <w:tcW w:w="529" w:type="pct"/>
            <w:gridSpan w:val="2"/>
          </w:tcPr>
          <w:p w:rsidR="00C865F2" w:rsidRPr="008A2AEC" w:rsidRDefault="00C865F2" w:rsidP="007D13DB">
            <w:pPr>
              <w:jc w:val="center"/>
              <w:rPr>
                <w:rFonts w:ascii="Arial" w:hAnsi="Arial" w:cs="Arial"/>
                <w:sz w:val="20"/>
                <w:szCs w:val="20"/>
              </w:rPr>
            </w:pPr>
          </w:p>
        </w:tc>
        <w:tc>
          <w:tcPr>
            <w:tcW w:w="480" w:type="pct"/>
          </w:tcPr>
          <w:p w:rsidR="00C865F2" w:rsidRPr="008A2AEC" w:rsidRDefault="00C865F2" w:rsidP="007D13DB">
            <w:pPr>
              <w:jc w:val="center"/>
              <w:rPr>
                <w:rFonts w:ascii="Arial" w:hAnsi="Arial" w:cs="Arial"/>
                <w:sz w:val="20"/>
                <w:szCs w:val="20"/>
              </w:rPr>
            </w:pPr>
          </w:p>
        </w:tc>
      </w:tr>
      <w:tr w:rsidR="00C865F2" w:rsidRPr="00D31E4B" w:rsidTr="007D13DB">
        <w:trPr>
          <w:trHeight w:hRule="exact" w:val="1135"/>
        </w:trPr>
        <w:tc>
          <w:tcPr>
            <w:tcW w:w="906" w:type="pct"/>
            <w:gridSpan w:val="2"/>
          </w:tcPr>
          <w:p w:rsidR="00C865F2" w:rsidRPr="00D31E4B" w:rsidRDefault="00C865F2" w:rsidP="007D13DB">
            <w:pPr>
              <w:pStyle w:val="ColorfulList-Accent12"/>
              <w:spacing w:line="240" w:lineRule="auto"/>
              <w:ind w:left="0"/>
              <w:rPr>
                <w:rFonts w:ascii="Arial" w:hAnsi="Arial" w:cs="Arial"/>
                <w:sz w:val="20"/>
                <w:szCs w:val="20"/>
              </w:rPr>
            </w:pPr>
            <w:r w:rsidRPr="00D31E4B">
              <w:rPr>
                <w:rFonts w:ascii="Arial" w:hAnsi="Arial" w:cs="Arial"/>
                <w:sz w:val="20"/>
                <w:szCs w:val="20"/>
              </w:rPr>
              <w:t xml:space="preserve">Not purged of </w:t>
            </w:r>
            <w:r>
              <w:rPr>
                <w:rFonts w:ascii="Arial" w:hAnsi="Arial" w:cs="Arial"/>
                <w:sz w:val="20"/>
                <w:szCs w:val="20"/>
              </w:rPr>
              <w:t xml:space="preserve">either </w:t>
            </w:r>
            <w:r w:rsidRPr="00D31E4B">
              <w:rPr>
                <w:rFonts w:ascii="Arial" w:hAnsi="Arial" w:cs="Arial"/>
                <w:sz w:val="20"/>
                <w:szCs w:val="20"/>
              </w:rPr>
              <w:t>macro influence</w:t>
            </w:r>
            <w:r>
              <w:rPr>
                <w:rFonts w:ascii="Arial" w:hAnsi="Arial" w:cs="Arial"/>
                <w:sz w:val="20"/>
                <w:szCs w:val="20"/>
              </w:rPr>
              <w:t xml:space="preserve"> or fed funds</w:t>
            </w:r>
          </w:p>
        </w:tc>
        <w:tc>
          <w:tcPr>
            <w:tcW w:w="494" w:type="pct"/>
            <w:gridSpan w:val="2"/>
          </w:tcPr>
          <w:p w:rsidR="00C865F2" w:rsidRPr="00D31E4B" w:rsidRDefault="00C865F2" w:rsidP="007D13DB">
            <w:pPr>
              <w:pStyle w:val="ColorfulList-Accent12"/>
              <w:spacing w:line="240" w:lineRule="auto"/>
              <w:ind w:left="0"/>
              <w:jc w:val="center"/>
              <w:rPr>
                <w:rFonts w:ascii="Arial" w:hAnsi="Arial" w:cs="Arial"/>
                <w:sz w:val="20"/>
                <w:szCs w:val="20"/>
              </w:rPr>
            </w:pPr>
          </w:p>
        </w:tc>
        <w:tc>
          <w:tcPr>
            <w:tcW w:w="494" w:type="pct"/>
            <w:gridSpan w:val="2"/>
          </w:tcPr>
          <w:p w:rsidR="00C865F2" w:rsidRPr="00D31E4B" w:rsidRDefault="00C865F2" w:rsidP="007D13DB">
            <w:pPr>
              <w:pStyle w:val="ColorfulList-Accent12"/>
              <w:spacing w:line="240" w:lineRule="auto"/>
              <w:ind w:left="0"/>
              <w:jc w:val="center"/>
              <w:rPr>
                <w:rFonts w:ascii="Arial" w:hAnsi="Arial" w:cs="Arial"/>
                <w:sz w:val="20"/>
                <w:szCs w:val="20"/>
              </w:rPr>
            </w:pPr>
          </w:p>
        </w:tc>
        <w:tc>
          <w:tcPr>
            <w:tcW w:w="525"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0.89</w:t>
            </w:r>
          </w:p>
        </w:tc>
        <w:tc>
          <w:tcPr>
            <w:tcW w:w="525"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1.30</w:t>
            </w:r>
          </w:p>
        </w:tc>
        <w:tc>
          <w:tcPr>
            <w:tcW w:w="525"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1.03</w:t>
            </w:r>
          </w:p>
        </w:tc>
        <w:tc>
          <w:tcPr>
            <w:tcW w:w="525"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0.84</w:t>
            </w:r>
          </w:p>
        </w:tc>
        <w:tc>
          <w:tcPr>
            <w:tcW w:w="526" w:type="pct"/>
          </w:tcPr>
          <w:p w:rsidR="00C865F2" w:rsidRPr="0079283B" w:rsidRDefault="00C865F2" w:rsidP="007D13DB">
            <w:pPr>
              <w:jc w:val="center"/>
              <w:rPr>
                <w:rFonts w:ascii="Arial" w:hAnsi="Arial" w:cs="Arial"/>
                <w:sz w:val="20"/>
                <w:szCs w:val="20"/>
              </w:rPr>
            </w:pPr>
            <w:r w:rsidRPr="0079283B">
              <w:rPr>
                <w:rFonts w:ascii="Arial" w:hAnsi="Arial" w:cs="Arial"/>
                <w:sz w:val="20"/>
                <w:szCs w:val="20"/>
              </w:rPr>
              <w:t>1.09</w:t>
            </w:r>
          </w:p>
        </w:tc>
        <w:tc>
          <w:tcPr>
            <w:tcW w:w="480" w:type="pct"/>
          </w:tcPr>
          <w:p w:rsidR="00C865F2" w:rsidRPr="0079283B" w:rsidRDefault="00C865F2" w:rsidP="007D13DB">
            <w:pPr>
              <w:jc w:val="center"/>
              <w:rPr>
                <w:rFonts w:ascii="Arial" w:hAnsi="Arial" w:cs="Arial"/>
                <w:sz w:val="20"/>
                <w:szCs w:val="20"/>
              </w:rPr>
            </w:pPr>
            <w:r w:rsidRPr="0079283B">
              <w:rPr>
                <w:rFonts w:ascii="Arial" w:hAnsi="Arial" w:cs="Arial"/>
                <w:sz w:val="20"/>
                <w:szCs w:val="20"/>
              </w:rPr>
              <w:t>0.89</w:t>
            </w:r>
          </w:p>
        </w:tc>
      </w:tr>
      <w:tr w:rsidR="00C865F2" w:rsidRPr="00D31E4B" w:rsidTr="007D13DB">
        <w:trPr>
          <w:trHeight w:hRule="exact" w:val="712"/>
        </w:trPr>
        <w:tc>
          <w:tcPr>
            <w:tcW w:w="906" w:type="pct"/>
            <w:gridSpan w:val="2"/>
          </w:tcPr>
          <w:p w:rsidR="00C865F2" w:rsidRPr="00D31E4B" w:rsidRDefault="00C865F2" w:rsidP="007D13DB">
            <w:pPr>
              <w:pStyle w:val="ColorfulList-Accent12"/>
              <w:spacing w:line="240" w:lineRule="auto"/>
              <w:ind w:left="0"/>
              <w:rPr>
                <w:rFonts w:ascii="Arial" w:hAnsi="Arial" w:cs="Arial"/>
                <w:sz w:val="20"/>
                <w:szCs w:val="20"/>
              </w:rPr>
            </w:pPr>
            <w:r>
              <w:rPr>
                <w:rFonts w:ascii="Arial" w:hAnsi="Arial" w:cs="Arial"/>
                <w:sz w:val="20"/>
                <w:szCs w:val="20"/>
              </w:rPr>
              <w:t>Purged of both macro influence and fed funds</w:t>
            </w:r>
          </w:p>
        </w:tc>
        <w:tc>
          <w:tcPr>
            <w:tcW w:w="494" w:type="pct"/>
            <w:gridSpan w:val="2"/>
          </w:tcPr>
          <w:p w:rsidR="00C865F2" w:rsidRPr="00D31E4B" w:rsidRDefault="00C865F2" w:rsidP="007D13DB">
            <w:pPr>
              <w:pStyle w:val="ColorfulList-Accent12"/>
              <w:spacing w:line="240" w:lineRule="auto"/>
              <w:ind w:left="0"/>
              <w:jc w:val="center"/>
              <w:rPr>
                <w:rFonts w:ascii="Arial" w:hAnsi="Arial" w:cs="Arial"/>
                <w:sz w:val="20"/>
                <w:szCs w:val="20"/>
              </w:rPr>
            </w:pPr>
          </w:p>
        </w:tc>
        <w:tc>
          <w:tcPr>
            <w:tcW w:w="494" w:type="pct"/>
            <w:gridSpan w:val="2"/>
          </w:tcPr>
          <w:p w:rsidR="00C865F2" w:rsidRPr="00D31E4B" w:rsidRDefault="00C865F2" w:rsidP="007D13DB">
            <w:pPr>
              <w:pStyle w:val="ColorfulList-Accent12"/>
              <w:spacing w:line="240" w:lineRule="auto"/>
              <w:ind w:left="0"/>
              <w:jc w:val="center"/>
              <w:rPr>
                <w:rFonts w:ascii="Arial" w:hAnsi="Arial" w:cs="Arial"/>
                <w:sz w:val="20"/>
                <w:szCs w:val="20"/>
              </w:rPr>
            </w:pPr>
          </w:p>
        </w:tc>
        <w:tc>
          <w:tcPr>
            <w:tcW w:w="525"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1.21</w:t>
            </w:r>
          </w:p>
        </w:tc>
        <w:tc>
          <w:tcPr>
            <w:tcW w:w="525"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1.29</w:t>
            </w:r>
          </w:p>
        </w:tc>
        <w:tc>
          <w:tcPr>
            <w:tcW w:w="525"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0.87</w:t>
            </w:r>
          </w:p>
        </w:tc>
        <w:tc>
          <w:tcPr>
            <w:tcW w:w="525" w:type="pct"/>
            <w:gridSpan w:val="2"/>
          </w:tcPr>
          <w:p w:rsidR="00C865F2" w:rsidRPr="0079283B" w:rsidRDefault="00C865F2" w:rsidP="007D13DB">
            <w:pPr>
              <w:jc w:val="center"/>
              <w:rPr>
                <w:rFonts w:ascii="Arial" w:hAnsi="Arial" w:cs="Arial"/>
                <w:sz w:val="20"/>
                <w:szCs w:val="20"/>
              </w:rPr>
            </w:pPr>
            <w:r w:rsidRPr="0079283B">
              <w:rPr>
                <w:rFonts w:ascii="Arial" w:hAnsi="Arial" w:cs="Arial"/>
                <w:sz w:val="20"/>
                <w:szCs w:val="20"/>
              </w:rPr>
              <w:t>1.22</w:t>
            </w:r>
          </w:p>
        </w:tc>
        <w:tc>
          <w:tcPr>
            <w:tcW w:w="526" w:type="pct"/>
          </w:tcPr>
          <w:p w:rsidR="00C865F2" w:rsidRPr="0079283B" w:rsidRDefault="00C865F2" w:rsidP="007D13DB">
            <w:pPr>
              <w:jc w:val="center"/>
              <w:rPr>
                <w:rFonts w:ascii="Arial" w:hAnsi="Arial" w:cs="Arial"/>
                <w:sz w:val="20"/>
                <w:szCs w:val="20"/>
              </w:rPr>
            </w:pPr>
            <w:r w:rsidRPr="0079283B">
              <w:rPr>
                <w:rFonts w:ascii="Arial" w:hAnsi="Arial" w:cs="Arial"/>
                <w:sz w:val="20"/>
                <w:szCs w:val="20"/>
              </w:rPr>
              <w:t>0.86</w:t>
            </w:r>
          </w:p>
        </w:tc>
        <w:tc>
          <w:tcPr>
            <w:tcW w:w="480" w:type="pct"/>
          </w:tcPr>
          <w:p w:rsidR="00C865F2" w:rsidRPr="0079283B" w:rsidRDefault="00C865F2" w:rsidP="007D13DB">
            <w:pPr>
              <w:jc w:val="center"/>
              <w:rPr>
                <w:rFonts w:ascii="Arial" w:hAnsi="Arial" w:cs="Arial"/>
                <w:sz w:val="20"/>
                <w:szCs w:val="20"/>
              </w:rPr>
            </w:pPr>
            <w:r w:rsidRPr="0079283B">
              <w:rPr>
                <w:rFonts w:ascii="Arial" w:hAnsi="Arial" w:cs="Arial"/>
                <w:sz w:val="20"/>
                <w:szCs w:val="20"/>
              </w:rPr>
              <w:t>0.73</w:t>
            </w:r>
          </w:p>
        </w:tc>
      </w:tr>
    </w:tbl>
    <w:p w:rsidR="00C865F2" w:rsidRDefault="00C865F2" w:rsidP="00C865F2">
      <w:pPr>
        <w:rPr>
          <w:rFonts w:ascii="Arial" w:hAnsi="Arial" w:cs="Arial"/>
          <w:sz w:val="20"/>
          <w:szCs w:val="20"/>
        </w:rPr>
      </w:pPr>
    </w:p>
    <w:p w:rsidR="00C865F2" w:rsidRDefault="00C865F2" w:rsidP="00C865F2">
      <w:pPr>
        <w:rPr>
          <w:b/>
          <w:noProof/>
        </w:rPr>
      </w:pPr>
    </w:p>
    <w:p w:rsidR="00C865F2" w:rsidRDefault="00C865F2" w:rsidP="00C865F2">
      <w:pPr>
        <w:spacing w:after="200" w:line="276" w:lineRule="auto"/>
        <w:jc w:val="center"/>
        <w:rPr>
          <w:rFonts w:ascii="Times New Roman" w:hAnsi="Times New Roman"/>
          <w:b/>
          <w:noProof/>
        </w:rPr>
      </w:pPr>
      <w:r w:rsidRPr="00CD186A">
        <w:rPr>
          <w:rFonts w:ascii="Times New Roman" w:hAnsi="Times New Roman"/>
          <w:b/>
          <w:noProof/>
        </w:rPr>
        <w:t>Figure 5.4 Decomposition of  FCI</w:t>
      </w:r>
      <w:r>
        <w:rPr>
          <w:rFonts w:ascii="Times New Roman" w:hAnsi="Times New Roman"/>
          <w:b/>
          <w:noProof/>
        </w:rPr>
        <w:t xml:space="preserve"> </w:t>
      </w:r>
    </w:p>
    <w:p w:rsidR="00C865F2" w:rsidRDefault="00DF738F" w:rsidP="00C865F2">
      <w:pPr>
        <w:spacing w:after="200" w:line="276" w:lineRule="auto"/>
        <w:jc w:val="center"/>
        <w:rPr>
          <w:rFonts w:ascii="Times New Roman" w:hAnsi="Times New Roman"/>
          <w:b/>
          <w:noProof/>
        </w:rPr>
      </w:pPr>
      <w:r>
        <w:rPr>
          <w:rFonts w:ascii="Times New Roman" w:hAnsi="Times New Roman"/>
          <w:b/>
          <w:noProof/>
        </w:rPr>
        <w:drawing>
          <wp:inline distT="0" distB="0" distL="0" distR="0">
            <wp:extent cx="5191125" cy="3609975"/>
            <wp:effectExtent l="0" t="0" r="9525" b="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srcRect/>
                    <a:stretch>
                      <a:fillRect/>
                    </a:stretch>
                  </pic:blipFill>
                  <pic:spPr bwMode="auto">
                    <a:xfrm>
                      <a:off x="0" y="0"/>
                      <a:ext cx="5191125" cy="3609975"/>
                    </a:xfrm>
                    <a:prstGeom prst="rect">
                      <a:avLst/>
                    </a:prstGeom>
                    <a:noFill/>
                    <a:ln w="9525">
                      <a:noFill/>
                      <a:miter lim="800000"/>
                      <a:headEnd/>
                      <a:tailEnd/>
                    </a:ln>
                  </pic:spPr>
                </pic:pic>
              </a:graphicData>
            </a:graphic>
          </wp:inline>
        </w:drawing>
      </w:r>
    </w:p>
    <w:p w:rsidR="00C865F2" w:rsidRDefault="00DF738F" w:rsidP="00C865F2">
      <w:pPr>
        <w:rPr>
          <w:rFonts w:ascii="Times New Roman" w:hAnsi="Times New Roman"/>
          <w:b/>
          <w:noProof/>
        </w:rPr>
      </w:pPr>
      <w:r>
        <w:rPr>
          <w:rFonts w:ascii="Times New Roman" w:hAnsi="Times New Roman"/>
          <w:b/>
          <w:noProof/>
        </w:rPr>
        <w:drawing>
          <wp:inline distT="0" distB="0" distL="0" distR="0">
            <wp:extent cx="5553075" cy="3886200"/>
            <wp:effectExtent l="0" t="0" r="0" b="0"/>
            <wp:docPr id="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cstate="print"/>
                    <a:srcRect/>
                    <a:stretch>
                      <a:fillRect/>
                    </a:stretch>
                  </pic:blipFill>
                  <pic:spPr bwMode="auto">
                    <a:xfrm>
                      <a:off x="0" y="0"/>
                      <a:ext cx="5553075" cy="3886200"/>
                    </a:xfrm>
                    <a:prstGeom prst="rect">
                      <a:avLst/>
                    </a:prstGeom>
                    <a:noFill/>
                    <a:ln w="9525">
                      <a:noFill/>
                      <a:miter lim="800000"/>
                      <a:headEnd/>
                      <a:tailEnd/>
                    </a:ln>
                  </pic:spPr>
                </pic:pic>
              </a:graphicData>
            </a:graphic>
          </wp:inline>
        </w:drawing>
      </w:r>
    </w:p>
    <w:p w:rsidR="00C865F2" w:rsidRDefault="00DF738F" w:rsidP="00C865F2">
      <w:pPr>
        <w:rPr>
          <w:rFonts w:ascii="Times New Roman" w:hAnsi="Times New Roman"/>
          <w:b/>
          <w:noProof/>
        </w:rPr>
      </w:pPr>
      <w:r>
        <w:rPr>
          <w:rFonts w:ascii="Times New Roman" w:hAnsi="Times New Roman"/>
          <w:b/>
          <w:noProof/>
        </w:rPr>
        <w:drawing>
          <wp:inline distT="0" distB="0" distL="0" distR="0">
            <wp:extent cx="5486400" cy="3486150"/>
            <wp:effectExtent l="0" t="0" r="0" b="0"/>
            <wp:docPr id="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cstate="print"/>
                    <a:srcRect/>
                    <a:stretch>
                      <a:fillRect/>
                    </a:stretch>
                  </pic:blipFill>
                  <pic:spPr bwMode="auto">
                    <a:xfrm>
                      <a:off x="0" y="0"/>
                      <a:ext cx="5486400" cy="3486150"/>
                    </a:xfrm>
                    <a:prstGeom prst="rect">
                      <a:avLst/>
                    </a:prstGeom>
                    <a:noFill/>
                    <a:ln w="9525">
                      <a:noFill/>
                      <a:miter lim="800000"/>
                      <a:headEnd/>
                      <a:tailEnd/>
                    </a:ln>
                  </pic:spPr>
                </pic:pic>
              </a:graphicData>
            </a:graphic>
          </wp:inline>
        </w:drawing>
      </w:r>
    </w:p>
    <w:p w:rsidR="00C865F2" w:rsidRDefault="00C865F2" w:rsidP="00C865F2">
      <w:pPr>
        <w:rPr>
          <w:rFonts w:ascii="Times New Roman" w:hAnsi="Times New Roman"/>
          <w:b/>
          <w:noProof/>
        </w:rPr>
      </w:pPr>
    </w:p>
    <w:p w:rsidR="00C865F2" w:rsidRDefault="00DF738F" w:rsidP="00C865F2">
      <w:pPr>
        <w:spacing w:after="200" w:line="276" w:lineRule="auto"/>
        <w:jc w:val="center"/>
        <w:rPr>
          <w:rFonts w:ascii="Times New Roman" w:hAnsi="Times New Roman"/>
          <w:b/>
        </w:rPr>
      </w:pPr>
      <w:r>
        <w:rPr>
          <w:rFonts w:ascii="Times New Roman" w:hAnsi="Times New Roman"/>
          <w:b/>
          <w:noProof/>
        </w:rPr>
        <w:drawing>
          <wp:inline distT="0" distB="0" distL="0" distR="0">
            <wp:extent cx="5391150" cy="4076700"/>
            <wp:effectExtent l="0" t="0" r="0"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cstate="print"/>
                    <a:srcRect/>
                    <a:stretch>
                      <a:fillRect/>
                    </a:stretch>
                  </pic:blipFill>
                  <pic:spPr bwMode="auto">
                    <a:xfrm>
                      <a:off x="0" y="0"/>
                      <a:ext cx="5391150" cy="4076700"/>
                    </a:xfrm>
                    <a:prstGeom prst="rect">
                      <a:avLst/>
                    </a:prstGeom>
                    <a:noFill/>
                    <a:ln w="9525">
                      <a:noFill/>
                      <a:miter lim="800000"/>
                      <a:headEnd/>
                      <a:tailEnd/>
                    </a:ln>
                  </pic:spPr>
                </pic:pic>
              </a:graphicData>
            </a:graphic>
          </wp:inline>
        </w:drawing>
      </w:r>
    </w:p>
    <w:p w:rsidR="00C865F2" w:rsidRDefault="00DF738F" w:rsidP="00C865F2">
      <w:pPr>
        <w:spacing w:after="200" w:line="276" w:lineRule="auto"/>
        <w:jc w:val="center"/>
        <w:rPr>
          <w:rFonts w:ascii="Times New Roman" w:hAnsi="Times New Roman"/>
          <w:b/>
        </w:rPr>
      </w:pPr>
      <w:r>
        <w:rPr>
          <w:rFonts w:ascii="Times New Roman" w:hAnsi="Times New Roman"/>
          <w:b/>
          <w:noProof/>
        </w:rPr>
        <w:drawing>
          <wp:inline distT="0" distB="0" distL="0" distR="0">
            <wp:extent cx="5791200" cy="4067175"/>
            <wp:effectExtent l="0" t="0" r="0" b="0"/>
            <wp:docPr id="3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cstate="print"/>
                    <a:srcRect/>
                    <a:stretch>
                      <a:fillRect/>
                    </a:stretch>
                  </pic:blipFill>
                  <pic:spPr bwMode="auto">
                    <a:xfrm>
                      <a:off x="0" y="0"/>
                      <a:ext cx="5791200" cy="4067175"/>
                    </a:xfrm>
                    <a:prstGeom prst="rect">
                      <a:avLst/>
                    </a:prstGeom>
                    <a:noFill/>
                    <a:ln w="9525">
                      <a:noFill/>
                      <a:miter lim="800000"/>
                      <a:headEnd/>
                      <a:tailEnd/>
                    </a:ln>
                  </pic:spPr>
                </pic:pic>
              </a:graphicData>
            </a:graphic>
          </wp:inline>
        </w:drawing>
      </w:r>
    </w:p>
    <w:p w:rsidR="00C865F2" w:rsidRDefault="00C865F2" w:rsidP="00C865F2">
      <w:pPr>
        <w:spacing w:after="200" w:line="276" w:lineRule="auto"/>
        <w:jc w:val="center"/>
        <w:rPr>
          <w:rFonts w:ascii="Times New Roman" w:hAnsi="Times New Roman"/>
          <w:b/>
        </w:rPr>
      </w:pPr>
    </w:p>
    <w:p w:rsidR="00C865F2" w:rsidRDefault="00C865F2" w:rsidP="00C865F2">
      <w:pPr>
        <w:spacing w:after="200" w:line="276" w:lineRule="auto"/>
        <w:jc w:val="center"/>
        <w:rPr>
          <w:rFonts w:ascii="Times New Roman" w:hAnsi="Times New Roman"/>
          <w:b/>
        </w:rPr>
      </w:pPr>
    </w:p>
    <w:p w:rsidR="00C865F2" w:rsidRDefault="00C865F2" w:rsidP="00C865F2">
      <w:pPr>
        <w:spacing w:after="200" w:line="276" w:lineRule="auto"/>
        <w:jc w:val="center"/>
        <w:rPr>
          <w:rFonts w:ascii="Times New Roman" w:hAnsi="Times New Roman"/>
          <w:b/>
        </w:rPr>
      </w:pPr>
    </w:p>
    <w:p w:rsidR="00C865F2" w:rsidRDefault="00C865F2" w:rsidP="00C865F2">
      <w:pPr>
        <w:spacing w:after="200" w:line="276" w:lineRule="auto"/>
        <w:jc w:val="center"/>
        <w:rPr>
          <w:rFonts w:ascii="Times New Roman" w:hAnsi="Times New Roman"/>
          <w:b/>
        </w:rPr>
      </w:pPr>
    </w:p>
    <w:p w:rsidR="00C865F2" w:rsidRDefault="00C865F2" w:rsidP="00C865F2">
      <w:pPr>
        <w:spacing w:after="200" w:line="276" w:lineRule="auto"/>
        <w:jc w:val="center"/>
        <w:rPr>
          <w:rFonts w:ascii="Times New Roman" w:hAnsi="Times New Roman"/>
          <w:b/>
        </w:rPr>
      </w:pPr>
    </w:p>
    <w:p w:rsidR="00C865F2" w:rsidRDefault="00C865F2" w:rsidP="00C865F2">
      <w:pPr>
        <w:spacing w:after="200" w:line="276" w:lineRule="auto"/>
        <w:jc w:val="center"/>
        <w:rPr>
          <w:rFonts w:ascii="Times New Roman" w:hAnsi="Times New Roman"/>
          <w:b/>
        </w:rPr>
      </w:pPr>
    </w:p>
    <w:p w:rsidR="00C865F2" w:rsidRDefault="00C865F2" w:rsidP="00C865F2">
      <w:pPr>
        <w:spacing w:after="200" w:line="276" w:lineRule="auto"/>
        <w:jc w:val="center"/>
        <w:rPr>
          <w:rFonts w:ascii="Times New Roman" w:hAnsi="Times New Roman"/>
          <w:b/>
        </w:rPr>
      </w:pPr>
    </w:p>
    <w:p w:rsidR="00C865F2" w:rsidRDefault="00C865F2" w:rsidP="00C865F2">
      <w:pPr>
        <w:spacing w:after="200" w:line="276" w:lineRule="auto"/>
        <w:jc w:val="center"/>
        <w:rPr>
          <w:rFonts w:ascii="Times New Roman" w:hAnsi="Times New Roman"/>
          <w:b/>
        </w:rPr>
      </w:pPr>
    </w:p>
    <w:p w:rsidR="00C865F2" w:rsidRDefault="00C865F2" w:rsidP="00C865F2">
      <w:pPr>
        <w:spacing w:after="200" w:line="276" w:lineRule="auto"/>
        <w:jc w:val="center"/>
        <w:rPr>
          <w:rFonts w:ascii="Times New Roman" w:hAnsi="Times New Roman"/>
          <w:b/>
        </w:rPr>
      </w:pPr>
    </w:p>
    <w:p w:rsidR="00C865F2" w:rsidRDefault="00C865F2" w:rsidP="00C865F2">
      <w:pPr>
        <w:spacing w:after="200" w:line="276" w:lineRule="auto"/>
        <w:jc w:val="center"/>
        <w:rPr>
          <w:rFonts w:ascii="Times New Roman" w:hAnsi="Times New Roman"/>
          <w:b/>
        </w:rPr>
      </w:pPr>
    </w:p>
    <w:p w:rsidR="00C865F2" w:rsidRDefault="00C865F2" w:rsidP="00C865F2">
      <w:pPr>
        <w:spacing w:after="200" w:line="276" w:lineRule="auto"/>
        <w:jc w:val="center"/>
        <w:rPr>
          <w:rFonts w:ascii="Times New Roman" w:hAnsi="Times New Roman"/>
          <w:b/>
        </w:rPr>
      </w:pPr>
    </w:p>
    <w:p w:rsidR="00C865F2" w:rsidRDefault="00C865F2" w:rsidP="00C865F2">
      <w:pPr>
        <w:spacing w:after="200" w:line="276" w:lineRule="auto"/>
        <w:jc w:val="center"/>
        <w:rPr>
          <w:rFonts w:ascii="Times New Roman" w:hAnsi="Times New Roman"/>
          <w:b/>
        </w:rPr>
      </w:pPr>
    </w:p>
    <w:p w:rsidR="00C865F2" w:rsidRPr="00C7781A" w:rsidRDefault="00C865F2" w:rsidP="00C865F2">
      <w:pPr>
        <w:spacing w:after="200" w:line="276" w:lineRule="auto"/>
        <w:jc w:val="center"/>
        <w:rPr>
          <w:rFonts w:ascii="Times New Roman" w:hAnsi="Times New Roman"/>
          <w:b/>
        </w:rPr>
      </w:pPr>
      <w:r>
        <w:rPr>
          <w:rFonts w:ascii="Times New Roman" w:hAnsi="Times New Roman"/>
          <w:b/>
        </w:rPr>
        <w:t>F</w:t>
      </w:r>
      <w:r w:rsidRPr="00CD186A">
        <w:rPr>
          <w:rFonts w:ascii="Times New Roman" w:hAnsi="Times New Roman"/>
          <w:b/>
        </w:rPr>
        <w:t>igure 5.5:  FCI with and without purging of business cycle</w:t>
      </w:r>
    </w:p>
    <w:p w:rsidR="00C865F2" w:rsidRPr="00EB5A32" w:rsidRDefault="00C865F2" w:rsidP="00C865F2">
      <w:pPr>
        <w:spacing w:after="200" w:line="276" w:lineRule="auto"/>
      </w:pPr>
      <w:r>
        <w:t xml:space="preserve">                                                   </w:t>
      </w:r>
      <w:r w:rsidR="00DF738F">
        <w:rPr>
          <w:noProof/>
        </w:rPr>
        <w:drawing>
          <wp:inline distT="0" distB="0" distL="0" distR="0">
            <wp:extent cx="5486400" cy="3752850"/>
            <wp:effectExtent l="0" t="0" r="0" b="0"/>
            <wp:docPr id="3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cstate="print"/>
                    <a:srcRect/>
                    <a:stretch>
                      <a:fillRect/>
                    </a:stretch>
                  </pic:blipFill>
                  <pic:spPr bwMode="auto">
                    <a:xfrm>
                      <a:off x="0" y="0"/>
                      <a:ext cx="5486400" cy="3752850"/>
                    </a:xfrm>
                    <a:prstGeom prst="rect">
                      <a:avLst/>
                    </a:prstGeom>
                    <a:noFill/>
                    <a:ln w="9525">
                      <a:noFill/>
                      <a:miter lim="800000"/>
                      <a:headEnd/>
                      <a:tailEnd/>
                    </a:ln>
                  </pic:spPr>
                </pic:pic>
              </a:graphicData>
            </a:graphic>
          </wp:inline>
        </w:drawing>
      </w:r>
      <w:r>
        <w:t xml:space="preserve">          </w:t>
      </w: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p>
    <w:p w:rsidR="00C865F2" w:rsidRDefault="00C865F2" w:rsidP="00C865F2">
      <w:pPr>
        <w:jc w:val="center"/>
        <w:rPr>
          <w:rFonts w:ascii="Times New Roman" w:hAnsi="Times New Roman"/>
          <w:b/>
        </w:rPr>
      </w:pPr>
      <w:r w:rsidRPr="00CD186A">
        <w:rPr>
          <w:rFonts w:ascii="Times New Roman" w:hAnsi="Times New Roman"/>
          <w:b/>
        </w:rPr>
        <w:t>Figure 5.</w:t>
      </w:r>
      <w:r>
        <w:rPr>
          <w:rFonts w:ascii="Times New Roman" w:hAnsi="Times New Roman"/>
          <w:b/>
        </w:rPr>
        <w:t>6</w:t>
      </w:r>
      <w:r w:rsidRPr="00CD186A">
        <w:rPr>
          <w:rFonts w:ascii="Times New Roman" w:hAnsi="Times New Roman"/>
          <w:b/>
        </w:rPr>
        <w:t xml:space="preserve">:  FCI </w:t>
      </w:r>
      <w:r>
        <w:rPr>
          <w:rFonts w:ascii="Times New Roman" w:hAnsi="Times New Roman"/>
          <w:b/>
        </w:rPr>
        <w:t>and FCI purged of Fed Funds Shocks</w:t>
      </w:r>
    </w:p>
    <w:p w:rsidR="00C865F2" w:rsidRDefault="00DF738F" w:rsidP="00C865F2">
      <w:pPr>
        <w:jc w:val="center"/>
        <w:rPr>
          <w:rFonts w:ascii="Times New Roman" w:hAnsi="Times New Roman"/>
          <w:b/>
        </w:rPr>
      </w:pPr>
      <w:r>
        <w:rPr>
          <w:rFonts w:ascii="Times New Roman" w:hAnsi="Times New Roman"/>
          <w:b/>
          <w:noProof/>
        </w:rPr>
        <w:drawing>
          <wp:inline distT="0" distB="0" distL="0" distR="0">
            <wp:extent cx="5572125" cy="3810000"/>
            <wp:effectExtent l="0" t="0" r="0" b="0"/>
            <wp:docPr id="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srcRect/>
                    <a:stretch>
                      <a:fillRect/>
                    </a:stretch>
                  </pic:blipFill>
                  <pic:spPr bwMode="auto">
                    <a:xfrm>
                      <a:off x="0" y="0"/>
                      <a:ext cx="5572125" cy="3810000"/>
                    </a:xfrm>
                    <a:prstGeom prst="rect">
                      <a:avLst/>
                    </a:prstGeom>
                    <a:noFill/>
                    <a:ln w="9525">
                      <a:noFill/>
                      <a:miter lim="800000"/>
                      <a:headEnd/>
                      <a:tailEnd/>
                    </a:ln>
                  </pic:spPr>
                </pic:pic>
              </a:graphicData>
            </a:graphic>
          </wp:inline>
        </w:drawing>
      </w:r>
    </w:p>
    <w:p w:rsidR="00C865F2" w:rsidRDefault="00C865F2" w:rsidP="00C865F2">
      <w:pPr>
        <w:rPr>
          <w:rFonts w:ascii="Times New Roman" w:hAnsi="Times New Roman"/>
          <w:b/>
        </w:rPr>
      </w:pPr>
      <w:r>
        <w:rPr>
          <w:rFonts w:ascii="Times New Roman" w:hAnsi="Times New Roman"/>
          <w:b/>
        </w:rPr>
        <w:br w:type="page"/>
      </w:r>
    </w:p>
    <w:p w:rsidR="00C865F2" w:rsidRDefault="00C865F2" w:rsidP="00C865F2">
      <w:pPr>
        <w:jc w:val="center"/>
        <w:rPr>
          <w:rFonts w:ascii="Times New Roman" w:hAnsi="Times New Roman"/>
          <w:b/>
        </w:rPr>
      </w:pPr>
      <w:r w:rsidRPr="00CD186A">
        <w:rPr>
          <w:rFonts w:ascii="Times New Roman" w:hAnsi="Times New Roman"/>
          <w:b/>
        </w:rPr>
        <w:t>Figure 5.</w:t>
      </w:r>
      <w:r>
        <w:rPr>
          <w:rFonts w:ascii="Times New Roman" w:hAnsi="Times New Roman"/>
          <w:b/>
        </w:rPr>
        <w:t>7</w:t>
      </w:r>
      <w:r w:rsidRPr="00CD186A">
        <w:rPr>
          <w:rFonts w:ascii="Times New Roman" w:hAnsi="Times New Roman"/>
          <w:b/>
        </w:rPr>
        <w:t>: Federal Funds and FCI During Periods of Fed Policy Easing and Tightening</w:t>
      </w:r>
      <w:r>
        <w:rPr>
          <w:rFonts w:ascii="Times New Roman" w:hAnsi="Times New Roman"/>
          <w:b/>
        </w:rPr>
        <w:t>*</w:t>
      </w:r>
    </w:p>
    <w:p w:rsidR="00C865F2" w:rsidRPr="00F461F2" w:rsidRDefault="00C865F2" w:rsidP="00C865F2">
      <w:pPr>
        <w:jc w:val="center"/>
        <w:rPr>
          <w:rFonts w:ascii="Times New Roman" w:hAnsi="Times New Roman"/>
          <w:b/>
        </w:rPr>
      </w:pPr>
    </w:p>
    <w:p w:rsidR="00C865F2" w:rsidRPr="00EB5A32" w:rsidRDefault="00DF738F" w:rsidP="00C865F2">
      <w:pPr>
        <w:jc w:val="center"/>
        <w:rPr>
          <w:noProof/>
          <w:sz w:val="20"/>
          <w:szCs w:val="18"/>
        </w:rPr>
      </w:pPr>
      <w:r>
        <w:rPr>
          <w:noProof/>
          <w:sz w:val="20"/>
          <w:szCs w:val="18"/>
        </w:rPr>
        <w:drawing>
          <wp:inline distT="0" distB="0" distL="0" distR="0">
            <wp:extent cx="5619750" cy="3648075"/>
            <wp:effectExtent l="0" t="0" r="0" b="0"/>
            <wp:docPr id="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cstate="print"/>
                    <a:srcRect/>
                    <a:stretch>
                      <a:fillRect/>
                    </a:stretch>
                  </pic:blipFill>
                  <pic:spPr bwMode="auto">
                    <a:xfrm>
                      <a:off x="0" y="0"/>
                      <a:ext cx="5619750" cy="3648075"/>
                    </a:xfrm>
                    <a:prstGeom prst="rect">
                      <a:avLst/>
                    </a:prstGeom>
                    <a:noFill/>
                    <a:ln w="9525">
                      <a:noFill/>
                      <a:miter lim="800000"/>
                      <a:headEnd/>
                      <a:tailEnd/>
                    </a:ln>
                  </pic:spPr>
                </pic:pic>
              </a:graphicData>
            </a:graphic>
          </wp:inline>
        </w:drawing>
      </w:r>
    </w:p>
    <w:p w:rsidR="00C865F2" w:rsidRDefault="00C865F2" w:rsidP="00C865F2">
      <w:pPr>
        <w:jc w:val="center"/>
        <w:rPr>
          <w:rFonts w:ascii="Times New Roman" w:hAnsi="Times New Roman"/>
          <w:b/>
          <w:noProof/>
        </w:rPr>
      </w:pPr>
    </w:p>
    <w:p w:rsidR="00C865F2" w:rsidRDefault="00C865F2" w:rsidP="00C865F2">
      <w:pP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r w:rsidRPr="00CD186A">
        <w:rPr>
          <w:rFonts w:ascii="Times New Roman" w:hAnsi="Times New Roman"/>
          <w:b/>
          <w:noProof/>
        </w:rPr>
        <w:t>Figure 5.</w:t>
      </w:r>
      <w:r>
        <w:rPr>
          <w:rFonts w:ascii="Times New Roman" w:hAnsi="Times New Roman"/>
          <w:b/>
          <w:noProof/>
        </w:rPr>
        <w:t>8</w:t>
      </w:r>
      <w:r w:rsidRPr="00CD186A">
        <w:rPr>
          <w:rFonts w:ascii="Times New Roman" w:hAnsi="Times New Roman"/>
          <w:b/>
          <w:noProof/>
        </w:rPr>
        <w:t xml:space="preserve">: New FCI During Periods of </w:t>
      </w:r>
      <w:r>
        <w:rPr>
          <w:rFonts w:ascii="Times New Roman" w:hAnsi="Times New Roman"/>
          <w:b/>
          <w:noProof/>
        </w:rPr>
        <w:t xml:space="preserve">Fed </w:t>
      </w:r>
      <w:r w:rsidRPr="00CD186A">
        <w:rPr>
          <w:rFonts w:ascii="Times New Roman" w:hAnsi="Times New Roman"/>
          <w:b/>
          <w:noProof/>
        </w:rPr>
        <w:t xml:space="preserve">Policy Tightening </w:t>
      </w:r>
    </w:p>
    <w:p w:rsidR="00C865F2" w:rsidRDefault="00C865F2" w:rsidP="00C865F2">
      <w:pPr>
        <w:jc w:val="center"/>
        <w:rPr>
          <w:rFonts w:ascii="Times New Roman" w:hAnsi="Times New Roman"/>
          <w:b/>
          <w:noProof/>
        </w:rPr>
      </w:pPr>
    </w:p>
    <w:p w:rsidR="00C865F2" w:rsidRPr="00A90A1A" w:rsidRDefault="00DF738F" w:rsidP="00C865F2">
      <w:pPr>
        <w:jc w:val="center"/>
        <w:rPr>
          <w:rFonts w:ascii="Times New Roman" w:hAnsi="Times New Roman"/>
          <w:b/>
          <w:noProof/>
        </w:rPr>
      </w:pPr>
      <w:r>
        <w:rPr>
          <w:noProof/>
        </w:rPr>
        <w:drawing>
          <wp:inline distT="0" distB="0" distL="0" distR="0">
            <wp:extent cx="5791200" cy="3581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1" cstate="print"/>
                    <a:srcRect/>
                    <a:stretch>
                      <a:fillRect/>
                    </a:stretch>
                  </pic:blipFill>
                  <pic:spPr bwMode="auto">
                    <a:xfrm>
                      <a:off x="0" y="0"/>
                      <a:ext cx="5791200" cy="3581400"/>
                    </a:xfrm>
                    <a:prstGeom prst="rect">
                      <a:avLst/>
                    </a:prstGeom>
                    <a:noFill/>
                    <a:ln w="9525">
                      <a:noFill/>
                      <a:miter lim="800000"/>
                      <a:headEnd/>
                      <a:tailEnd/>
                    </a:ln>
                  </pic:spPr>
                </pic:pic>
              </a:graphicData>
            </a:graphic>
          </wp:inline>
        </w:drawing>
      </w:r>
    </w:p>
    <w:p w:rsidR="00C865F2" w:rsidRDefault="00C865F2" w:rsidP="00C865F2">
      <w:pPr>
        <w:jc w:val="center"/>
        <w:rPr>
          <w:rFonts w:ascii="Times New Roman" w:hAnsi="Times New Roman"/>
          <w:b/>
          <w:noProof/>
        </w:rPr>
      </w:pPr>
    </w:p>
    <w:p w:rsidR="00C865F2" w:rsidRDefault="00C865F2" w:rsidP="00C865F2">
      <w:pPr>
        <w:jc w:val="center"/>
        <w:rPr>
          <w:rFonts w:ascii="Times New Roman" w:hAnsi="Times New Roman"/>
          <w:b/>
          <w:noProof/>
        </w:rPr>
      </w:pPr>
      <w:r>
        <w:rPr>
          <w:rFonts w:ascii="Times New Roman" w:hAnsi="Times New Roman"/>
          <w:b/>
          <w:noProof/>
        </w:rPr>
        <w:t>Figure 5.9</w:t>
      </w:r>
      <w:r w:rsidRPr="00F461F2">
        <w:rPr>
          <w:rFonts w:ascii="Times New Roman" w:hAnsi="Times New Roman"/>
          <w:b/>
          <w:noProof/>
        </w:rPr>
        <w:t>: New FCI Dur</w:t>
      </w:r>
      <w:r>
        <w:rPr>
          <w:rFonts w:ascii="Times New Roman" w:hAnsi="Times New Roman"/>
          <w:b/>
          <w:noProof/>
        </w:rPr>
        <w:t>ing Periods of Fed Policy Easing</w:t>
      </w:r>
    </w:p>
    <w:p w:rsidR="00C865F2" w:rsidRDefault="00C865F2" w:rsidP="00C865F2">
      <w:pPr>
        <w:jc w:val="center"/>
        <w:rPr>
          <w:rFonts w:ascii="Times New Roman" w:hAnsi="Times New Roman"/>
          <w:b/>
          <w:noProof/>
        </w:rPr>
      </w:pPr>
    </w:p>
    <w:p w:rsidR="00C865F2" w:rsidRPr="00A90A1A" w:rsidRDefault="00DF738F" w:rsidP="00C865F2">
      <w:pPr>
        <w:jc w:val="center"/>
        <w:rPr>
          <w:rFonts w:ascii="Times New Roman" w:hAnsi="Times New Roman"/>
          <w:b/>
          <w:noProof/>
        </w:rPr>
      </w:pPr>
      <w:r>
        <w:rPr>
          <w:noProof/>
        </w:rPr>
        <w:drawing>
          <wp:inline distT="0" distB="0" distL="0" distR="0">
            <wp:extent cx="5600700" cy="36385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cstate="print"/>
                    <a:srcRect/>
                    <a:stretch>
                      <a:fillRect/>
                    </a:stretch>
                  </pic:blipFill>
                  <pic:spPr bwMode="auto">
                    <a:xfrm>
                      <a:off x="0" y="0"/>
                      <a:ext cx="5600700" cy="3638550"/>
                    </a:xfrm>
                    <a:prstGeom prst="rect">
                      <a:avLst/>
                    </a:prstGeom>
                    <a:noFill/>
                    <a:ln w="9525">
                      <a:noFill/>
                      <a:miter lim="800000"/>
                      <a:headEnd/>
                      <a:tailEnd/>
                    </a:ln>
                  </pic:spPr>
                </pic:pic>
              </a:graphicData>
            </a:graphic>
          </wp:inline>
        </w:drawing>
      </w:r>
    </w:p>
    <w:p w:rsidR="00C865F2" w:rsidRPr="00AF5468" w:rsidRDefault="00C865F2" w:rsidP="00C865F2">
      <w:pPr>
        <w:jc w:val="center"/>
        <w:rPr>
          <w:noProof/>
          <w:sz w:val="20"/>
          <w:szCs w:val="18"/>
        </w:rPr>
      </w:pPr>
    </w:p>
    <w:p w:rsidR="00C865F2" w:rsidRDefault="00C865F2" w:rsidP="00C865F2">
      <w:pPr>
        <w:jc w:val="center"/>
        <w:rPr>
          <w:rFonts w:ascii="Times New Roman" w:hAnsi="Times New Roman"/>
          <w:b/>
          <w:noProof/>
          <w:color w:val="000000"/>
        </w:rPr>
      </w:pPr>
      <w:r w:rsidRPr="00DD37A6">
        <w:rPr>
          <w:rFonts w:ascii="Times New Roman" w:hAnsi="Times New Roman"/>
          <w:b/>
          <w:noProof/>
          <w:color w:val="000000"/>
        </w:rPr>
        <w:t>Figure 5.10: Changes in Financial Conditions from 2009Q2 to 2009Q4</w:t>
      </w:r>
    </w:p>
    <w:p w:rsidR="00C865F2" w:rsidRPr="00143846" w:rsidRDefault="00DF738F" w:rsidP="00C865F2">
      <w:pPr>
        <w:jc w:val="center"/>
      </w:pPr>
      <w:r>
        <w:rPr>
          <w:noProof/>
        </w:rPr>
        <w:drawing>
          <wp:inline distT="0" distB="0" distL="0" distR="0">
            <wp:extent cx="5848350" cy="35909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cstate="print"/>
                    <a:srcRect/>
                    <a:stretch>
                      <a:fillRect/>
                    </a:stretch>
                  </pic:blipFill>
                  <pic:spPr bwMode="auto">
                    <a:xfrm>
                      <a:off x="0" y="0"/>
                      <a:ext cx="5848350" cy="3590925"/>
                    </a:xfrm>
                    <a:prstGeom prst="rect">
                      <a:avLst/>
                    </a:prstGeom>
                    <a:noFill/>
                    <a:ln w="9525">
                      <a:noFill/>
                      <a:miter lim="800000"/>
                      <a:headEnd/>
                      <a:tailEnd/>
                    </a:ln>
                  </pic:spPr>
                </pic:pic>
              </a:graphicData>
            </a:graphic>
          </wp:inline>
        </w:drawing>
      </w:r>
    </w:p>
    <w:p w:rsidR="00C865F2" w:rsidRDefault="00C865F2" w:rsidP="00C865F2">
      <w:pPr>
        <w:rPr>
          <w:rFonts w:ascii="Times New Roman" w:eastAsia="Calibri" w:hAnsi="Times New Roman"/>
          <w:b/>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p>
    <w:p w:rsidR="00C865F2" w:rsidRDefault="00C865F2" w:rsidP="00C865F2">
      <w:pPr>
        <w:pStyle w:val="ColorfulList-Accent12"/>
        <w:tabs>
          <w:tab w:val="left" w:pos="90"/>
        </w:tabs>
        <w:ind w:left="0"/>
        <w:jc w:val="center"/>
        <w:rPr>
          <w:b/>
          <w:szCs w:val="24"/>
        </w:rPr>
      </w:pPr>
      <w:r>
        <w:rPr>
          <w:b/>
          <w:szCs w:val="24"/>
        </w:rPr>
        <w:t>Table 5.3</w:t>
      </w:r>
      <w:r w:rsidRPr="00A30D86">
        <w:rPr>
          <w:b/>
          <w:szCs w:val="24"/>
        </w:rPr>
        <w:t>:</w:t>
      </w:r>
      <w:r>
        <w:rPr>
          <w:b/>
          <w:szCs w:val="24"/>
        </w:rPr>
        <w:t xml:space="preserve"> </w:t>
      </w:r>
      <w:r w:rsidRPr="00517DF8">
        <w:rPr>
          <w:b/>
          <w:szCs w:val="24"/>
        </w:rPr>
        <w:t>Top contributors</w:t>
      </w:r>
      <w:r>
        <w:rPr>
          <w:b/>
          <w:szCs w:val="24"/>
        </w:rPr>
        <w:t xml:space="preserve"> to decline in new FCI (2009:Q2 to 2009:Q4)</w:t>
      </w:r>
    </w:p>
    <w:p w:rsidR="00C865F2" w:rsidRDefault="00C865F2" w:rsidP="00C865F2">
      <w:pPr>
        <w:pStyle w:val="ColorfulList-Accent12"/>
        <w:tabs>
          <w:tab w:val="left" w:pos="90"/>
        </w:tabs>
        <w:ind w:left="0"/>
        <w:jc w:val="center"/>
        <w:rPr>
          <w:b/>
          <w:noProof/>
        </w:rPr>
      </w:pPr>
    </w:p>
    <w:p w:rsidR="00C865F2" w:rsidRDefault="00C865F2" w:rsidP="00C865F2">
      <w:pPr>
        <w:jc w:val="center"/>
        <w:rPr>
          <w:rFonts w:ascii="Times New Roman" w:hAnsi="Times New Roman"/>
          <w:b/>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35"/>
        <w:gridCol w:w="1501"/>
        <w:gridCol w:w="1858"/>
        <w:gridCol w:w="1282"/>
      </w:tblGrid>
      <w:tr w:rsidR="00C865F2" w:rsidTr="007D13DB">
        <w:tc>
          <w:tcPr>
            <w:tcW w:w="0" w:type="auto"/>
          </w:tcPr>
          <w:p w:rsidR="00C865F2" w:rsidRPr="0049196A" w:rsidRDefault="00C865F2" w:rsidP="007D13DB">
            <w:pPr>
              <w:rPr>
                <w:rFonts w:ascii="Times New Roman" w:eastAsia="Calibri" w:hAnsi="Times New Roman"/>
                <w:b/>
                <w:noProof/>
              </w:rPr>
            </w:pPr>
            <w:r w:rsidRPr="0049196A">
              <w:rPr>
                <w:rFonts w:ascii="Times New Roman" w:eastAsia="Calibri" w:hAnsi="Times New Roman"/>
                <w:b/>
                <w:noProof/>
              </w:rPr>
              <w:br w:type="page"/>
              <w:t>Indicator</w:t>
            </w:r>
          </w:p>
        </w:tc>
        <w:tc>
          <w:tcPr>
            <w:tcW w:w="0" w:type="auto"/>
          </w:tcPr>
          <w:p w:rsidR="00C865F2" w:rsidRPr="0049196A" w:rsidRDefault="00C865F2" w:rsidP="007D13DB">
            <w:pPr>
              <w:jc w:val="center"/>
              <w:rPr>
                <w:rFonts w:ascii="Times New Roman" w:eastAsia="Calibri" w:hAnsi="Times New Roman"/>
                <w:b/>
                <w:noProof/>
              </w:rPr>
            </w:pPr>
            <w:r w:rsidRPr="0049196A">
              <w:rPr>
                <w:rFonts w:ascii="Times New Roman" w:eastAsia="Calibri" w:hAnsi="Times New Roman"/>
                <w:b/>
                <w:noProof/>
              </w:rPr>
              <w:t>FCI (purged)</w:t>
            </w:r>
          </w:p>
        </w:tc>
        <w:tc>
          <w:tcPr>
            <w:tcW w:w="0" w:type="auto"/>
          </w:tcPr>
          <w:p w:rsidR="00C865F2" w:rsidRPr="0049196A" w:rsidRDefault="00C865F2" w:rsidP="007D13DB">
            <w:pPr>
              <w:jc w:val="center"/>
              <w:rPr>
                <w:rFonts w:ascii="Times New Roman" w:eastAsia="Calibri" w:hAnsi="Times New Roman"/>
                <w:b/>
                <w:noProof/>
              </w:rPr>
            </w:pPr>
            <w:r w:rsidRPr="0049196A">
              <w:rPr>
                <w:rFonts w:ascii="Times New Roman" w:eastAsia="Calibri" w:hAnsi="Times New Roman"/>
                <w:b/>
                <w:noProof/>
              </w:rPr>
              <w:t>FCI (non purged)</w:t>
            </w:r>
          </w:p>
        </w:tc>
        <w:tc>
          <w:tcPr>
            <w:tcW w:w="0" w:type="auto"/>
          </w:tcPr>
          <w:p w:rsidR="00C865F2" w:rsidRPr="0049196A" w:rsidRDefault="00C865F2" w:rsidP="007D13DB">
            <w:pPr>
              <w:jc w:val="center"/>
              <w:rPr>
                <w:rFonts w:ascii="Times New Roman" w:eastAsia="Calibri" w:hAnsi="Times New Roman"/>
                <w:b/>
                <w:noProof/>
              </w:rPr>
            </w:pPr>
            <w:r w:rsidRPr="0049196A">
              <w:rPr>
                <w:rFonts w:ascii="Times New Roman" w:eastAsia="Calibri" w:hAnsi="Times New Roman"/>
                <w:b/>
                <w:noProof/>
              </w:rPr>
              <w:t>Difference</w:t>
            </w:r>
          </w:p>
        </w:tc>
      </w:tr>
      <w:tr w:rsidR="00C865F2" w:rsidTr="007D13DB">
        <w:tc>
          <w:tcPr>
            <w:tcW w:w="0" w:type="auto"/>
          </w:tcPr>
          <w:p w:rsidR="00C865F2" w:rsidRPr="0049196A" w:rsidRDefault="00C865F2" w:rsidP="007D13DB">
            <w:pPr>
              <w:rPr>
                <w:rFonts w:ascii="Times New Roman" w:eastAsia="Calibri" w:hAnsi="Times New Roman"/>
                <w:noProof/>
              </w:rPr>
            </w:pPr>
            <w:r w:rsidRPr="0049196A">
              <w:rPr>
                <w:rFonts w:ascii="Times New Roman" w:eastAsia="Calibri" w:hAnsi="Times New Roman"/>
                <w:noProof/>
              </w:rPr>
              <w:t>Total Non-mortgage ABS Issuance (Relative to 8Q MA)</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-0.20</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-0.01</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-0.19</w:t>
            </w:r>
          </w:p>
        </w:tc>
      </w:tr>
      <w:tr w:rsidR="00C865F2" w:rsidTr="007D13DB">
        <w:tc>
          <w:tcPr>
            <w:tcW w:w="0" w:type="auto"/>
          </w:tcPr>
          <w:p w:rsidR="00C865F2" w:rsidRPr="0049196A" w:rsidRDefault="00C865F2" w:rsidP="007D13DB">
            <w:pPr>
              <w:rPr>
                <w:rFonts w:ascii="Times New Roman" w:eastAsia="Calibri" w:hAnsi="Times New Roman"/>
                <w:noProof/>
              </w:rPr>
            </w:pPr>
            <w:r w:rsidRPr="0049196A">
              <w:rPr>
                <w:rFonts w:ascii="Times New Roman" w:eastAsia="Calibri" w:hAnsi="Times New Roman"/>
                <w:noProof/>
              </w:rPr>
              <w:t>Financial Market Cap (percent of S&amp;P 500)</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-0.19</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-0.02</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-0.17</w:t>
            </w:r>
          </w:p>
        </w:tc>
      </w:tr>
      <w:tr w:rsidR="00C865F2" w:rsidTr="007D13DB">
        <w:tc>
          <w:tcPr>
            <w:tcW w:w="0" w:type="auto"/>
          </w:tcPr>
          <w:p w:rsidR="00C865F2" w:rsidRPr="0049196A" w:rsidRDefault="00C865F2" w:rsidP="007D13DB">
            <w:pPr>
              <w:rPr>
                <w:rFonts w:ascii="Times New Roman" w:eastAsia="Calibri" w:hAnsi="Times New Roman"/>
                <w:noProof/>
              </w:rPr>
            </w:pPr>
            <w:r w:rsidRPr="0049196A">
              <w:rPr>
                <w:rFonts w:ascii="Times New Roman" w:eastAsia="Calibri" w:hAnsi="Times New Roman"/>
                <w:noProof/>
              </w:rPr>
              <w:t>ABS Issuers: Assets; Consumer Credit</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-0.10</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-0.03</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-0.08</w:t>
            </w:r>
          </w:p>
        </w:tc>
      </w:tr>
      <w:tr w:rsidR="00C865F2" w:rsidTr="007D13DB">
        <w:tc>
          <w:tcPr>
            <w:tcW w:w="0" w:type="auto"/>
          </w:tcPr>
          <w:p w:rsidR="00C865F2" w:rsidRPr="0049196A" w:rsidRDefault="00C865F2" w:rsidP="007D13DB">
            <w:pPr>
              <w:rPr>
                <w:rFonts w:ascii="Times New Roman" w:eastAsia="Calibri" w:hAnsi="Times New Roman"/>
                <w:noProof/>
              </w:rPr>
            </w:pPr>
            <w:r w:rsidRPr="0049196A">
              <w:rPr>
                <w:rFonts w:ascii="Times New Roman" w:eastAsia="Calibri" w:hAnsi="Times New Roman"/>
                <w:noProof/>
              </w:rPr>
              <w:t>Total Finance: Liabilities - Security RPs</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-0.10</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-0.01</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-0.10</w:t>
            </w:r>
          </w:p>
        </w:tc>
      </w:tr>
      <w:tr w:rsidR="00C865F2" w:rsidTr="007D13DB">
        <w:tc>
          <w:tcPr>
            <w:tcW w:w="0" w:type="auto"/>
          </w:tcPr>
          <w:p w:rsidR="00C865F2" w:rsidRPr="0049196A" w:rsidRDefault="00C865F2" w:rsidP="007D13DB">
            <w:pPr>
              <w:rPr>
                <w:rFonts w:ascii="Times New Roman" w:eastAsia="Calibri" w:hAnsi="Times New Roman"/>
                <w:noProof/>
              </w:rPr>
            </w:pPr>
            <w:r w:rsidRPr="0049196A">
              <w:rPr>
                <w:rFonts w:ascii="Times New Roman" w:eastAsia="Calibri" w:hAnsi="Times New Roman"/>
                <w:noProof/>
              </w:rPr>
              <w:t>Wilshire 5000</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-0.10</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-0.02</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-0.08</w:t>
            </w:r>
          </w:p>
        </w:tc>
      </w:tr>
      <w:tr w:rsidR="00C865F2" w:rsidTr="007D13DB">
        <w:tc>
          <w:tcPr>
            <w:tcW w:w="0" w:type="auto"/>
          </w:tcPr>
          <w:p w:rsidR="00C865F2" w:rsidRPr="0049196A" w:rsidRDefault="00C865F2" w:rsidP="007D13DB">
            <w:pPr>
              <w:rPr>
                <w:rFonts w:ascii="Times New Roman" w:eastAsia="Calibri" w:hAnsi="Times New Roman"/>
                <w:noProof/>
              </w:rPr>
            </w:pPr>
            <w:r w:rsidRPr="0049196A">
              <w:rPr>
                <w:rFonts w:ascii="Times New Roman" w:eastAsia="Calibri" w:hAnsi="Times New Roman"/>
                <w:noProof/>
              </w:rPr>
              <w:t>ABS Issuers: Asset - Commercial Mortgages</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-0.09</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-0.01</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-0.08</w:t>
            </w:r>
          </w:p>
        </w:tc>
      </w:tr>
      <w:tr w:rsidR="00C865F2" w:rsidTr="007D13DB">
        <w:tc>
          <w:tcPr>
            <w:tcW w:w="0" w:type="auto"/>
          </w:tcPr>
          <w:p w:rsidR="00C865F2" w:rsidRPr="0049196A" w:rsidRDefault="00C865F2" w:rsidP="007D13DB">
            <w:pPr>
              <w:rPr>
                <w:rFonts w:ascii="Times New Roman" w:eastAsia="Calibri" w:hAnsi="Times New Roman"/>
                <w:noProof/>
              </w:rPr>
            </w:pPr>
            <w:r w:rsidRPr="0049196A">
              <w:rPr>
                <w:rFonts w:ascii="Times New Roman" w:eastAsia="Calibri" w:hAnsi="Times New Roman"/>
                <w:noProof/>
              </w:rPr>
              <w:t>FRB SLO: Banks Tightening C&amp;I Loans to Small Firms</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-0.08</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0.06</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-0.14</w:t>
            </w:r>
          </w:p>
        </w:tc>
      </w:tr>
      <w:tr w:rsidR="00C865F2" w:rsidTr="007D13DB">
        <w:tc>
          <w:tcPr>
            <w:tcW w:w="0" w:type="auto"/>
          </w:tcPr>
          <w:p w:rsidR="00C865F2" w:rsidRPr="0049196A" w:rsidRDefault="00C865F2" w:rsidP="007D13DB">
            <w:pPr>
              <w:rPr>
                <w:rFonts w:ascii="Times New Roman" w:eastAsia="Calibri" w:hAnsi="Times New Roman"/>
                <w:noProof/>
              </w:rPr>
            </w:pPr>
            <w:r w:rsidRPr="0049196A">
              <w:rPr>
                <w:rFonts w:ascii="Times New Roman" w:eastAsia="Calibri" w:hAnsi="Times New Roman"/>
                <w:noProof/>
              </w:rPr>
              <w:t>FRB SLO: Banks Tightening C&amp;I Loans to Large Firms</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-0.08</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0.05</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-0.12</w:t>
            </w:r>
          </w:p>
        </w:tc>
      </w:tr>
      <w:tr w:rsidR="00C865F2" w:rsidTr="007D13DB">
        <w:tc>
          <w:tcPr>
            <w:tcW w:w="0" w:type="auto"/>
          </w:tcPr>
          <w:p w:rsidR="00C865F2" w:rsidRPr="0049196A" w:rsidRDefault="00C865F2" w:rsidP="007D13DB">
            <w:pPr>
              <w:rPr>
                <w:rFonts w:ascii="Times New Roman" w:eastAsia="Calibri" w:hAnsi="Times New Roman"/>
                <w:noProof/>
              </w:rPr>
            </w:pPr>
            <w:r w:rsidRPr="0049196A">
              <w:rPr>
                <w:rFonts w:ascii="Times New Roman" w:eastAsia="Calibri" w:hAnsi="Times New Roman"/>
                <w:noProof/>
              </w:rPr>
              <w:t>ABS Issuance (Relative to 24M MA)</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-0.07</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0.02</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-0.09</w:t>
            </w:r>
          </w:p>
        </w:tc>
      </w:tr>
      <w:tr w:rsidR="00C865F2" w:rsidTr="007D13DB">
        <w:tc>
          <w:tcPr>
            <w:tcW w:w="0" w:type="auto"/>
          </w:tcPr>
          <w:p w:rsidR="00C865F2" w:rsidRPr="0049196A" w:rsidRDefault="00C865F2" w:rsidP="007D13DB">
            <w:pPr>
              <w:rPr>
                <w:rFonts w:ascii="Times New Roman" w:eastAsia="Calibri" w:hAnsi="Times New Roman"/>
                <w:noProof/>
              </w:rPr>
            </w:pPr>
            <w:r w:rsidRPr="0049196A">
              <w:rPr>
                <w:rFonts w:ascii="Times New Roman" w:eastAsia="Calibri" w:hAnsi="Times New Roman"/>
                <w:noProof/>
              </w:rPr>
              <w:t>Loan Performance National House Price Index</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-0.07</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0.00</w:t>
            </w:r>
          </w:p>
        </w:tc>
        <w:tc>
          <w:tcPr>
            <w:tcW w:w="0" w:type="auto"/>
          </w:tcPr>
          <w:p w:rsidR="00C865F2" w:rsidRPr="0049196A" w:rsidRDefault="00C865F2" w:rsidP="007D13DB">
            <w:pPr>
              <w:jc w:val="center"/>
              <w:rPr>
                <w:rFonts w:ascii="Arial" w:eastAsia="Calibri" w:hAnsi="Arial" w:cs="Arial"/>
                <w:noProof/>
                <w:sz w:val="20"/>
                <w:szCs w:val="20"/>
              </w:rPr>
            </w:pPr>
            <w:r w:rsidRPr="0049196A">
              <w:rPr>
                <w:rFonts w:ascii="Arial" w:eastAsia="Calibri" w:hAnsi="Arial" w:cs="Arial"/>
                <w:noProof/>
                <w:sz w:val="20"/>
                <w:szCs w:val="20"/>
              </w:rPr>
              <w:t>-0.07</w:t>
            </w:r>
          </w:p>
        </w:tc>
      </w:tr>
      <w:tr w:rsidR="00C865F2" w:rsidTr="007D13DB">
        <w:tc>
          <w:tcPr>
            <w:tcW w:w="0" w:type="auto"/>
          </w:tcPr>
          <w:p w:rsidR="00C865F2" w:rsidRPr="0049196A" w:rsidRDefault="00C865F2" w:rsidP="007D13DB">
            <w:pPr>
              <w:rPr>
                <w:rFonts w:ascii="Times New Roman" w:eastAsia="Calibri" w:hAnsi="Times New Roman"/>
                <w:b/>
                <w:noProof/>
              </w:rPr>
            </w:pPr>
          </w:p>
        </w:tc>
        <w:tc>
          <w:tcPr>
            <w:tcW w:w="0" w:type="auto"/>
          </w:tcPr>
          <w:p w:rsidR="00C865F2" w:rsidRPr="0049196A" w:rsidRDefault="00C865F2" w:rsidP="007D13DB">
            <w:pPr>
              <w:jc w:val="center"/>
              <w:rPr>
                <w:rFonts w:ascii="Times New Roman" w:eastAsia="Calibri" w:hAnsi="Times New Roman"/>
                <w:b/>
                <w:noProof/>
              </w:rPr>
            </w:pPr>
          </w:p>
        </w:tc>
        <w:tc>
          <w:tcPr>
            <w:tcW w:w="0" w:type="auto"/>
          </w:tcPr>
          <w:p w:rsidR="00C865F2" w:rsidRPr="0049196A" w:rsidRDefault="00C865F2" w:rsidP="007D13DB">
            <w:pPr>
              <w:jc w:val="center"/>
              <w:rPr>
                <w:rFonts w:ascii="Times New Roman" w:eastAsia="Calibri" w:hAnsi="Times New Roman"/>
                <w:b/>
                <w:noProof/>
              </w:rPr>
            </w:pPr>
          </w:p>
        </w:tc>
        <w:tc>
          <w:tcPr>
            <w:tcW w:w="0" w:type="auto"/>
          </w:tcPr>
          <w:p w:rsidR="00C865F2" w:rsidRPr="0049196A" w:rsidRDefault="00C865F2" w:rsidP="007D13DB">
            <w:pPr>
              <w:jc w:val="center"/>
              <w:rPr>
                <w:rFonts w:ascii="Times New Roman" w:eastAsia="Calibri" w:hAnsi="Times New Roman"/>
                <w:b/>
                <w:noProof/>
              </w:rPr>
            </w:pPr>
          </w:p>
        </w:tc>
      </w:tr>
      <w:tr w:rsidR="00C865F2" w:rsidTr="007D13DB">
        <w:tc>
          <w:tcPr>
            <w:tcW w:w="0" w:type="auto"/>
          </w:tcPr>
          <w:p w:rsidR="00C865F2" w:rsidRPr="0049196A" w:rsidRDefault="00C865F2" w:rsidP="007D13DB">
            <w:pPr>
              <w:rPr>
                <w:rFonts w:ascii="Times New Roman" w:eastAsia="Calibri" w:hAnsi="Times New Roman"/>
                <w:b/>
                <w:noProof/>
              </w:rPr>
            </w:pPr>
            <w:r w:rsidRPr="0049196A">
              <w:rPr>
                <w:rFonts w:ascii="Times New Roman" w:eastAsia="Calibri" w:hAnsi="Times New Roman"/>
                <w:b/>
                <w:noProof/>
              </w:rPr>
              <w:t>Sum</w:t>
            </w:r>
          </w:p>
        </w:tc>
        <w:tc>
          <w:tcPr>
            <w:tcW w:w="0" w:type="auto"/>
          </w:tcPr>
          <w:p w:rsidR="00C865F2" w:rsidRPr="0049196A" w:rsidRDefault="00C865F2" w:rsidP="007D13DB">
            <w:pPr>
              <w:jc w:val="center"/>
              <w:rPr>
                <w:rFonts w:ascii="Times New Roman" w:eastAsia="Calibri" w:hAnsi="Times New Roman"/>
                <w:b/>
                <w:noProof/>
              </w:rPr>
            </w:pPr>
            <w:r w:rsidRPr="0049196A">
              <w:rPr>
                <w:rFonts w:ascii="Times New Roman" w:eastAsia="Calibri" w:hAnsi="Times New Roman"/>
                <w:b/>
                <w:noProof/>
              </w:rPr>
              <w:t>-1.08</w:t>
            </w:r>
          </w:p>
        </w:tc>
        <w:tc>
          <w:tcPr>
            <w:tcW w:w="0" w:type="auto"/>
          </w:tcPr>
          <w:p w:rsidR="00C865F2" w:rsidRPr="0049196A" w:rsidRDefault="00C865F2" w:rsidP="007D13DB">
            <w:pPr>
              <w:jc w:val="center"/>
              <w:rPr>
                <w:rFonts w:ascii="Times New Roman" w:eastAsia="Calibri" w:hAnsi="Times New Roman"/>
                <w:b/>
                <w:noProof/>
              </w:rPr>
            </w:pPr>
            <w:r w:rsidRPr="0049196A">
              <w:rPr>
                <w:rFonts w:ascii="Times New Roman" w:eastAsia="Calibri" w:hAnsi="Times New Roman"/>
                <w:b/>
                <w:noProof/>
              </w:rPr>
              <w:t>0.02</w:t>
            </w:r>
          </w:p>
        </w:tc>
        <w:tc>
          <w:tcPr>
            <w:tcW w:w="0" w:type="auto"/>
          </w:tcPr>
          <w:p w:rsidR="00C865F2" w:rsidRPr="0049196A" w:rsidRDefault="00C865F2" w:rsidP="007D13DB">
            <w:pPr>
              <w:jc w:val="center"/>
              <w:rPr>
                <w:rFonts w:ascii="Times New Roman" w:eastAsia="Calibri" w:hAnsi="Times New Roman"/>
                <w:b/>
                <w:noProof/>
              </w:rPr>
            </w:pPr>
            <w:r w:rsidRPr="0049196A">
              <w:rPr>
                <w:rFonts w:ascii="Times New Roman" w:eastAsia="Calibri" w:hAnsi="Times New Roman"/>
                <w:b/>
                <w:noProof/>
              </w:rPr>
              <w:t>-1.11</w:t>
            </w:r>
          </w:p>
        </w:tc>
      </w:tr>
    </w:tbl>
    <w:p w:rsidR="00C865F2" w:rsidRDefault="00C865F2" w:rsidP="00C865F2">
      <w:pPr>
        <w:rPr>
          <w:rFonts w:ascii="Times New Roman" w:hAnsi="Times New Roman"/>
          <w:b/>
          <w:noProof/>
        </w:rPr>
      </w:pPr>
    </w:p>
    <w:p w:rsidR="00C865F2" w:rsidRDefault="00C865F2" w:rsidP="00C865F2">
      <w:pPr>
        <w:jc w:val="both"/>
        <w:rPr>
          <w:rFonts w:ascii="Times New Roman" w:hAnsi="Times New Roman"/>
          <w:b/>
          <w:noProof/>
        </w:rPr>
      </w:pPr>
    </w:p>
    <w:p w:rsidR="00C865F2" w:rsidRDefault="00C865F2" w:rsidP="00C865F2">
      <w:pPr>
        <w:jc w:val="both"/>
        <w:rPr>
          <w:rFonts w:ascii="Times New Roman" w:hAnsi="Times New Roman"/>
          <w:noProof/>
        </w:rPr>
      </w:pPr>
      <w:r>
        <w:rPr>
          <w:rFonts w:ascii="Times New Roman" w:hAnsi="Times New Roman"/>
          <w:noProof/>
        </w:rPr>
        <w:t>Notes: Columns 2 and 3 show the change from 2009:Q2 to 2009:Q4 in the contribution to the FCI from the indicator shown in column 1.</w:t>
      </w: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B36A8F">
      <w:pPr>
        <w:rPr>
          <w:rFonts w:ascii="Times New Roman" w:hAnsi="Times New Roman"/>
          <w:b/>
          <w:noProof/>
        </w:rPr>
      </w:pPr>
    </w:p>
    <w:p w:rsidR="00B36A8F" w:rsidRDefault="00C865F2">
      <w:pPr>
        <w:jc w:val="center"/>
        <w:rPr>
          <w:rFonts w:ascii="Times New Roman" w:hAnsi="Times New Roman"/>
          <w:b/>
          <w:noProof/>
        </w:rPr>
      </w:pPr>
      <w:r>
        <w:rPr>
          <w:rFonts w:ascii="Times New Roman" w:hAnsi="Times New Roman"/>
          <w:b/>
          <w:noProof/>
        </w:rPr>
        <w:t>Figure 5.11: ABS issuance still subdued</w:t>
      </w:r>
    </w:p>
    <w:p w:rsidR="00B36A8F" w:rsidRDefault="00B36A8F">
      <w:pPr>
        <w:jc w:val="center"/>
        <w:rPr>
          <w:rFonts w:ascii="Times New Roman" w:hAnsi="Times New Roman"/>
          <w:b/>
        </w:rPr>
      </w:pPr>
    </w:p>
    <w:p w:rsidR="00C865F2" w:rsidRPr="00103B5F" w:rsidRDefault="00DF738F" w:rsidP="00C865F2">
      <w:pPr>
        <w:jc w:val="center"/>
        <w:rPr>
          <w:rFonts w:ascii="Times New Roman" w:hAnsi="Times New Roman"/>
          <w:b/>
        </w:rPr>
      </w:pPr>
      <w:r>
        <w:rPr>
          <w:noProof/>
        </w:rPr>
        <w:drawing>
          <wp:inline distT="0" distB="0" distL="0" distR="0">
            <wp:extent cx="5562600" cy="36480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cstate="print"/>
                    <a:srcRect/>
                    <a:stretch>
                      <a:fillRect/>
                    </a:stretch>
                  </pic:blipFill>
                  <pic:spPr bwMode="auto">
                    <a:xfrm>
                      <a:off x="0" y="0"/>
                      <a:ext cx="5562600" cy="3648075"/>
                    </a:xfrm>
                    <a:prstGeom prst="rect">
                      <a:avLst/>
                    </a:prstGeom>
                    <a:noFill/>
                    <a:ln w="9525">
                      <a:noFill/>
                      <a:miter lim="800000"/>
                      <a:headEnd/>
                      <a:tailEnd/>
                    </a:ln>
                  </pic:spPr>
                </pic:pic>
              </a:graphicData>
            </a:graphic>
          </wp:inline>
        </w:drawing>
      </w:r>
    </w:p>
    <w:p w:rsidR="00C865F2" w:rsidRDefault="00C865F2" w:rsidP="007907F5"/>
    <w:p w:rsidR="00C865F2" w:rsidRPr="007907F5" w:rsidRDefault="00C865F2" w:rsidP="007907F5"/>
    <w:sectPr w:rsidR="00C865F2" w:rsidRPr="007907F5" w:rsidSect="009210F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E21" w:rsidRDefault="004B6E21">
      <w:r>
        <w:separator/>
      </w:r>
    </w:p>
  </w:endnote>
  <w:endnote w:type="continuationSeparator" w:id="0">
    <w:p w:rsidR="004B6E21" w:rsidRDefault="004B6E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D0" w:rsidRDefault="006F0F7F" w:rsidP="009210F9">
    <w:pPr>
      <w:pStyle w:val="Footer"/>
      <w:framePr w:wrap="around" w:vAnchor="text" w:hAnchor="margin" w:xAlign="center" w:y="1"/>
      <w:rPr>
        <w:rStyle w:val="PageNumber"/>
      </w:rPr>
    </w:pPr>
    <w:r>
      <w:rPr>
        <w:rStyle w:val="PageNumber"/>
      </w:rPr>
      <w:fldChar w:fldCharType="begin"/>
    </w:r>
    <w:r w:rsidR="00AF17D0">
      <w:rPr>
        <w:rStyle w:val="PageNumber"/>
      </w:rPr>
      <w:instrText xml:space="preserve">PAGE  </w:instrText>
    </w:r>
    <w:r>
      <w:rPr>
        <w:rStyle w:val="PageNumber"/>
      </w:rPr>
      <w:fldChar w:fldCharType="end"/>
    </w:r>
  </w:p>
  <w:p w:rsidR="00AF17D0" w:rsidRDefault="00AF17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D0" w:rsidRPr="00220B67" w:rsidRDefault="006F0F7F">
    <w:pPr>
      <w:pStyle w:val="Footer"/>
      <w:jc w:val="center"/>
      <w:rPr>
        <w:rFonts w:ascii="Times New Roman" w:hAnsi="Times New Roman"/>
        <w:sz w:val="20"/>
        <w:szCs w:val="20"/>
      </w:rPr>
    </w:pPr>
    <w:fldSimple w:instr=" PAGE   \* MERGEFORMAT ">
      <w:r w:rsidR="007F1C0D" w:rsidRPr="007F1C0D">
        <w:rPr>
          <w:rFonts w:ascii="Times New Roman" w:hAnsi="Times New Roman"/>
          <w:noProof/>
          <w:sz w:val="20"/>
          <w:szCs w:val="20"/>
        </w:rPr>
        <w:t>1</w:t>
      </w:r>
    </w:fldSimple>
  </w:p>
  <w:p w:rsidR="00AF17D0" w:rsidRDefault="00AF17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F2" w:rsidRPr="006E3EB7" w:rsidRDefault="006F0F7F">
    <w:pPr>
      <w:pStyle w:val="Footer"/>
      <w:jc w:val="center"/>
      <w:rPr>
        <w:rFonts w:ascii="Times New Roman" w:hAnsi="Times New Roman"/>
        <w:sz w:val="20"/>
        <w:szCs w:val="20"/>
      </w:rPr>
    </w:pPr>
    <w:r w:rsidRPr="00CD186A">
      <w:rPr>
        <w:rFonts w:ascii="Times New Roman" w:hAnsi="Times New Roman"/>
        <w:sz w:val="20"/>
        <w:szCs w:val="20"/>
      </w:rPr>
      <w:fldChar w:fldCharType="begin"/>
    </w:r>
    <w:r w:rsidR="00C865F2" w:rsidRPr="00CD186A">
      <w:rPr>
        <w:rFonts w:ascii="Times New Roman" w:hAnsi="Times New Roman"/>
        <w:sz w:val="20"/>
        <w:szCs w:val="20"/>
      </w:rPr>
      <w:instrText xml:space="preserve"> PAGE   \* MERGEFORMAT </w:instrText>
    </w:r>
    <w:r w:rsidRPr="00CD186A">
      <w:rPr>
        <w:rFonts w:ascii="Times New Roman" w:hAnsi="Times New Roman"/>
        <w:sz w:val="20"/>
        <w:szCs w:val="20"/>
      </w:rPr>
      <w:fldChar w:fldCharType="separate"/>
    </w:r>
    <w:r w:rsidR="007F1C0D">
      <w:rPr>
        <w:rFonts w:ascii="Times New Roman" w:hAnsi="Times New Roman"/>
        <w:noProof/>
        <w:sz w:val="20"/>
        <w:szCs w:val="20"/>
      </w:rPr>
      <w:t>37</w:t>
    </w:r>
    <w:r w:rsidRPr="00CD186A">
      <w:rPr>
        <w:rFonts w:ascii="Times New Roman" w:hAnsi="Times New Roman"/>
        <w:sz w:val="20"/>
        <w:szCs w:val="20"/>
      </w:rPr>
      <w:fldChar w:fldCharType="end"/>
    </w:r>
  </w:p>
  <w:p w:rsidR="00C865F2" w:rsidRDefault="00C865F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D0" w:rsidRDefault="006F0F7F" w:rsidP="009210F9">
    <w:pPr>
      <w:pStyle w:val="Footer"/>
      <w:framePr w:wrap="around" w:vAnchor="text" w:hAnchor="margin" w:xAlign="center" w:y="1"/>
      <w:rPr>
        <w:rStyle w:val="PageNumber"/>
      </w:rPr>
    </w:pPr>
    <w:r>
      <w:rPr>
        <w:rStyle w:val="PageNumber"/>
      </w:rPr>
      <w:fldChar w:fldCharType="begin"/>
    </w:r>
    <w:r w:rsidR="00AF17D0">
      <w:rPr>
        <w:rStyle w:val="PageNumber"/>
      </w:rPr>
      <w:instrText xml:space="preserve">PAGE  </w:instrText>
    </w:r>
    <w:r>
      <w:rPr>
        <w:rStyle w:val="PageNumber"/>
      </w:rPr>
      <w:fldChar w:fldCharType="end"/>
    </w:r>
  </w:p>
  <w:p w:rsidR="00AF17D0" w:rsidRDefault="00AF17D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D0" w:rsidRPr="000530C9" w:rsidRDefault="006F0F7F" w:rsidP="009210F9">
    <w:pPr>
      <w:pStyle w:val="Footer"/>
      <w:framePr w:wrap="around" w:vAnchor="text" w:hAnchor="margin" w:xAlign="center" w:y="1"/>
      <w:rPr>
        <w:rStyle w:val="PageNumber"/>
      </w:rPr>
    </w:pPr>
    <w:r w:rsidRPr="00CD186A">
      <w:rPr>
        <w:rStyle w:val="PageNumber"/>
        <w:sz w:val="20"/>
        <w:szCs w:val="20"/>
      </w:rPr>
      <w:fldChar w:fldCharType="begin"/>
    </w:r>
    <w:r w:rsidR="00AF17D0" w:rsidRPr="00CD186A">
      <w:rPr>
        <w:rStyle w:val="PageNumber"/>
        <w:sz w:val="20"/>
        <w:szCs w:val="20"/>
      </w:rPr>
      <w:instrText xml:space="preserve">PAGE  </w:instrText>
    </w:r>
    <w:r w:rsidRPr="00CD186A">
      <w:rPr>
        <w:rStyle w:val="PageNumber"/>
        <w:sz w:val="20"/>
        <w:szCs w:val="20"/>
      </w:rPr>
      <w:fldChar w:fldCharType="separate"/>
    </w:r>
    <w:r w:rsidR="007F1C0D">
      <w:rPr>
        <w:rStyle w:val="PageNumber"/>
        <w:noProof/>
        <w:sz w:val="20"/>
        <w:szCs w:val="20"/>
      </w:rPr>
      <w:t>40</w:t>
    </w:r>
    <w:r w:rsidRPr="00CD186A">
      <w:rPr>
        <w:rStyle w:val="PageNumber"/>
        <w:sz w:val="20"/>
        <w:szCs w:val="20"/>
      </w:rPr>
      <w:fldChar w:fldCharType="end"/>
    </w:r>
  </w:p>
  <w:p w:rsidR="00AF17D0" w:rsidRDefault="00AF17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E21" w:rsidRDefault="004B6E21">
      <w:r>
        <w:separator/>
      </w:r>
    </w:p>
  </w:footnote>
  <w:footnote w:type="continuationSeparator" w:id="0">
    <w:p w:rsidR="004B6E21" w:rsidRDefault="004B6E21">
      <w:r>
        <w:continuationSeparator/>
      </w:r>
    </w:p>
  </w:footnote>
  <w:footnote w:id="1">
    <w:p w:rsidR="00AF17D0" w:rsidRPr="002B3A57" w:rsidRDefault="00AF17D0">
      <w:pPr>
        <w:pStyle w:val="FootnoteText"/>
        <w:rPr>
          <w:rFonts w:ascii="Times New Roman" w:hAnsi="Times New Roman"/>
        </w:rPr>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For this reason, an assessment of the marginal predictive value of an FCI should purge the FCI of its endogenous predictive content. We will</w:t>
      </w:r>
      <w:r>
        <w:rPr>
          <w:rFonts w:ascii="Times New Roman" w:hAnsi="Times New Roman"/>
          <w:sz w:val="20"/>
          <w:szCs w:val="20"/>
        </w:rPr>
        <w:t xml:space="preserve"> </w:t>
      </w:r>
      <w:r w:rsidRPr="002B3A57">
        <w:rPr>
          <w:rFonts w:ascii="Times New Roman" w:hAnsi="Times New Roman"/>
          <w:sz w:val="20"/>
          <w:szCs w:val="20"/>
        </w:rPr>
        <w:t>see later in the empirical section of this paper that existing FCIs include some mix of exogenous financial shocks and endogenous predictive components. In constructing a new FCI, we use standard econometric</w:t>
      </w:r>
      <w:r w:rsidRPr="002B3A57">
        <w:rPr>
          <w:rFonts w:ascii="Times New Roman" w:hAnsi="Times New Roman"/>
        </w:rPr>
        <w:t xml:space="preserve"> </w:t>
      </w:r>
      <w:r w:rsidRPr="002B3A57">
        <w:rPr>
          <w:rFonts w:ascii="Times New Roman" w:hAnsi="Times New Roman"/>
          <w:sz w:val="20"/>
          <w:szCs w:val="20"/>
        </w:rPr>
        <w:t>procedures to remove the endogenous component in order to isolate and study the impact of exogenous financial shocks.</w:t>
      </w:r>
    </w:p>
  </w:footnote>
  <w:footnote w:id="2">
    <w:p w:rsidR="00AF17D0" w:rsidRPr="002B3A57" w:rsidRDefault="00AF17D0" w:rsidP="009210F9">
      <w:pPr>
        <w:pStyle w:val="FootnoteText"/>
        <w:rPr>
          <w:rFonts w:ascii="Times New Roman" w:hAnsi="Times New Roman"/>
          <w:sz w:val="20"/>
          <w:szCs w:val="20"/>
        </w:rPr>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w:t>
      </w:r>
      <w:r>
        <w:rPr>
          <w:rFonts w:ascii="Times New Roman" w:hAnsi="Times New Roman"/>
          <w:sz w:val="20"/>
          <w:szCs w:val="20"/>
        </w:rPr>
        <w:t xml:space="preserve">An alternative classification might distinguish between financial shocks that are directly related to monetary policy and those that are due to other factors.  In this taxonomy, an FCI could be designed to measure the impact of financial variables on real activity </w:t>
      </w:r>
      <w:r w:rsidRPr="00CD186A">
        <w:rPr>
          <w:rFonts w:ascii="Times New Roman" w:hAnsi="Times New Roman"/>
          <w:i/>
          <w:sz w:val="20"/>
          <w:szCs w:val="20"/>
        </w:rPr>
        <w:t xml:space="preserve">over and above </w:t>
      </w:r>
      <w:r>
        <w:rPr>
          <w:rFonts w:ascii="Times New Roman" w:hAnsi="Times New Roman"/>
          <w:sz w:val="20"/>
          <w:szCs w:val="20"/>
        </w:rPr>
        <w:t xml:space="preserve">the direct effects of monetary policy via a risk-free yield curve.  We employ this approach in Section 5.2 below, where we show that most of the predictive power of financial conditions for real activity reflects influences </w:t>
      </w:r>
      <w:r w:rsidRPr="00CD186A">
        <w:rPr>
          <w:rFonts w:ascii="Times New Roman" w:hAnsi="Times New Roman"/>
          <w:i/>
          <w:sz w:val="20"/>
          <w:szCs w:val="20"/>
        </w:rPr>
        <w:t>other</w:t>
      </w:r>
      <w:r>
        <w:rPr>
          <w:rFonts w:ascii="Times New Roman" w:hAnsi="Times New Roman"/>
          <w:sz w:val="20"/>
          <w:szCs w:val="20"/>
        </w:rPr>
        <w:t xml:space="preserve"> than the evolution of monetary policy.</w:t>
      </w:r>
    </w:p>
  </w:footnote>
  <w:footnote w:id="3">
    <w:p w:rsidR="00AF17D0" w:rsidRPr="002B3A57" w:rsidRDefault="00AF17D0">
      <w:pPr>
        <w:pStyle w:val="FootnoteText"/>
        <w:rPr>
          <w:rFonts w:ascii="Times New Roman" w:hAnsi="Times New Roman"/>
          <w:sz w:val="20"/>
          <w:szCs w:val="20"/>
        </w:rPr>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Unlike the Bank of Japan in the late 1990s and earlier in this decade, the Federal Reserve did not target any specific level of reserves as a part of its unconventional policy apparatus. The Fed’s policy focus was on credit policies that influence relative asset prices (yields), suggesting that the changing size of the balance sheet was principally a by-product of credit interventions. Nevertheless, for analytic purposes, it is useful to distinguish changes in the size of the central bank balance sheet (QE) from changes in the mix of the central bank balance sheet (CE).</w:t>
      </w:r>
    </w:p>
  </w:footnote>
  <w:footnote w:id="4">
    <w:p w:rsidR="00AF17D0" w:rsidRPr="002B3A57" w:rsidRDefault="00AF17D0" w:rsidP="009210F9">
      <w:pPr>
        <w:pStyle w:val="FootnoteText"/>
        <w:rPr>
          <w:rFonts w:ascii="Times New Roman" w:hAnsi="Times New Roman"/>
          <w:sz w:val="20"/>
          <w:szCs w:val="20"/>
        </w:rPr>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Other U.S. financial conditions indexes include those developed by Beaton, Lalonde and Luu (2009); Goodhart and Hoffmann (2001); Montagnoli and Napolitano (2006); and Swiston (2008).  </w:t>
      </w:r>
    </w:p>
  </w:footnote>
  <w:footnote w:id="5">
    <w:p w:rsidR="00AF17D0" w:rsidRPr="002B3A57" w:rsidRDefault="00AF17D0" w:rsidP="009210F9">
      <w:pPr>
        <w:rPr>
          <w:rFonts w:ascii="Times New Roman" w:hAnsi="Times New Roman"/>
          <w:sz w:val="20"/>
          <w:szCs w:val="20"/>
        </w:rPr>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The literature on the forecasting performance of these and other financial indicators is vast.  Stock and Watson (2003) surveys the pre-2003 literature.</w:t>
      </w:r>
    </w:p>
    <w:p w:rsidR="00AF17D0" w:rsidRDefault="00AF17D0" w:rsidP="009210F9">
      <w:pPr>
        <w:pStyle w:val="FootnoteText"/>
      </w:pPr>
    </w:p>
  </w:footnote>
  <w:footnote w:id="6">
    <w:p w:rsidR="00AF17D0" w:rsidRPr="002B3A57" w:rsidRDefault="00AF17D0" w:rsidP="009210F9">
      <w:pPr>
        <w:pStyle w:val="FootnoteText"/>
        <w:rPr>
          <w:rFonts w:ascii="Times New Roman" w:hAnsi="Times New Roman"/>
          <w:sz w:val="20"/>
          <w:szCs w:val="20"/>
        </w:rPr>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The QLR (Quandt Likelihood Ratio) test statistic is a version of the familiar Chow-test for structural instability, which is used when there is uncertainty about the potential break-date in the coefficients.  The QLR test statistic is the largest of the Chow </w:t>
      </w:r>
      <w:r w:rsidRPr="002B3A57">
        <w:rPr>
          <w:rFonts w:ascii="Times New Roman" w:hAnsi="Times New Roman"/>
          <w:i/>
          <w:sz w:val="20"/>
          <w:szCs w:val="20"/>
        </w:rPr>
        <w:t>F</w:t>
      </w:r>
      <w:r w:rsidRPr="002B3A57">
        <w:rPr>
          <w:rFonts w:ascii="Times New Roman" w:hAnsi="Times New Roman"/>
          <w:sz w:val="20"/>
          <w:szCs w:val="20"/>
        </w:rPr>
        <w:t>-statistics computed for every possible break-date in the middle 70% of the sample period.  For a textbook discussion of the test see Stock and Watson (2007, Chapter 14).</w:t>
      </w:r>
    </w:p>
    <w:p w:rsidR="00AF17D0" w:rsidRPr="001A5A81" w:rsidRDefault="00AF17D0" w:rsidP="009210F9">
      <w:pPr>
        <w:pStyle w:val="FootnoteText"/>
        <w:rPr>
          <w:sz w:val="20"/>
          <w:szCs w:val="20"/>
        </w:rPr>
      </w:pPr>
    </w:p>
  </w:footnote>
  <w:footnote w:id="7">
    <w:p w:rsidR="00AF17D0" w:rsidRDefault="00AF17D0" w:rsidP="009210F9">
      <w:pPr>
        <w:pStyle w:val="FootnoteText"/>
        <w:rPr>
          <w:rFonts w:ascii="Times New Roman" w:hAnsi="Times New Roman"/>
          <w:sz w:val="20"/>
          <w:szCs w:val="20"/>
        </w:rPr>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These are called “pseudo</w:t>
      </w:r>
      <w:r>
        <w:rPr>
          <w:rFonts w:ascii="Times New Roman" w:hAnsi="Times New Roman"/>
          <w:sz w:val="20"/>
          <w:szCs w:val="20"/>
        </w:rPr>
        <w:t>-</w:t>
      </w:r>
      <w:r w:rsidRPr="002B3A57">
        <w:rPr>
          <w:rFonts w:ascii="Times New Roman" w:hAnsi="Times New Roman"/>
          <w:sz w:val="20"/>
          <w:szCs w:val="20"/>
        </w:rPr>
        <w:t>” out-of-sample, because they were not actually computed in real-time over the sample period.  Importantly, in our context, they do not reflect revisions in the real activity indicators or real M2.</w:t>
      </w:r>
    </w:p>
    <w:p w:rsidR="00AF17D0" w:rsidRPr="002B3A57" w:rsidRDefault="00AF17D0" w:rsidP="009210F9">
      <w:pPr>
        <w:pStyle w:val="FootnoteText"/>
        <w:rPr>
          <w:rFonts w:ascii="Times New Roman" w:hAnsi="Times New Roman"/>
          <w:sz w:val="20"/>
          <w:szCs w:val="20"/>
        </w:rPr>
      </w:pPr>
    </w:p>
  </w:footnote>
  <w:footnote w:id="8">
    <w:p w:rsidR="00AF17D0" w:rsidRPr="00787388" w:rsidRDefault="00AF17D0" w:rsidP="009210F9">
      <w:pPr>
        <w:pStyle w:val="FootnoteText"/>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BIC (Bayes information criteria), also called the SIC (Schwartz information criteria), balances the tradeoff between improved model fit (reducing a regression’s sum of squared residuals) and increases in sampling error (larger coefficient standard errors) associated with augmenting the forecasting model with additional lags. See Stock and Watson (2007, Chapter 14).  In this application we allow </w:t>
      </w:r>
      <w:r w:rsidRPr="002B3A57">
        <w:rPr>
          <w:rFonts w:ascii="Times New Roman" w:hAnsi="Times New Roman"/>
          <w:i/>
          <w:sz w:val="20"/>
          <w:szCs w:val="20"/>
        </w:rPr>
        <w:t>p</w:t>
      </w:r>
      <w:r w:rsidRPr="002B3A57">
        <w:rPr>
          <w:rFonts w:ascii="Times New Roman" w:hAnsi="Times New Roman"/>
          <w:i/>
          <w:sz w:val="20"/>
          <w:szCs w:val="20"/>
          <w:vertAlign w:val="subscript"/>
        </w:rPr>
        <w:t>y</w:t>
      </w:r>
      <w:r w:rsidRPr="002B3A57">
        <w:rPr>
          <w:rFonts w:ascii="Times New Roman" w:hAnsi="Times New Roman"/>
          <w:sz w:val="20"/>
          <w:szCs w:val="20"/>
        </w:rPr>
        <w:t xml:space="preserve"> to take on values between 0 and </w:t>
      </w:r>
      <w:r>
        <w:rPr>
          <w:rFonts w:ascii="Times New Roman" w:hAnsi="Times New Roman"/>
          <w:sz w:val="20"/>
          <w:szCs w:val="20"/>
        </w:rPr>
        <w:t>4</w:t>
      </w:r>
      <w:r w:rsidRPr="002B3A57">
        <w:rPr>
          <w:rFonts w:ascii="Times New Roman" w:hAnsi="Times New Roman"/>
          <w:sz w:val="20"/>
          <w:szCs w:val="20"/>
        </w:rPr>
        <w:t xml:space="preserve">, and </w:t>
      </w:r>
      <w:r w:rsidRPr="002B3A57">
        <w:rPr>
          <w:rFonts w:ascii="Times New Roman" w:hAnsi="Times New Roman"/>
          <w:i/>
          <w:sz w:val="20"/>
          <w:szCs w:val="20"/>
        </w:rPr>
        <w:t>p</w:t>
      </w:r>
      <w:r w:rsidRPr="002B3A57">
        <w:rPr>
          <w:rFonts w:ascii="Times New Roman" w:hAnsi="Times New Roman"/>
          <w:i/>
          <w:sz w:val="20"/>
          <w:szCs w:val="20"/>
          <w:vertAlign w:val="subscript"/>
        </w:rPr>
        <w:t>x</w:t>
      </w:r>
      <w:r w:rsidRPr="002B3A57">
        <w:rPr>
          <w:rFonts w:ascii="Times New Roman" w:hAnsi="Times New Roman"/>
          <w:sz w:val="20"/>
          <w:szCs w:val="20"/>
        </w:rPr>
        <w:t xml:space="preserve"> to take on values between 1 and </w:t>
      </w:r>
      <w:r>
        <w:rPr>
          <w:rFonts w:ascii="Times New Roman" w:hAnsi="Times New Roman"/>
          <w:sz w:val="20"/>
          <w:szCs w:val="20"/>
        </w:rPr>
        <w:t>4</w:t>
      </w:r>
      <w:r w:rsidRPr="002B3A57">
        <w:rPr>
          <w:rFonts w:ascii="Times New Roman" w:hAnsi="Times New Roman"/>
          <w:sz w:val="20"/>
          <w:szCs w:val="20"/>
        </w:rPr>
        <w:t xml:space="preserve"> (so that at least one lag of </w:t>
      </w:r>
      <w:r w:rsidRPr="002B3A57">
        <w:rPr>
          <w:rFonts w:ascii="Times New Roman" w:hAnsi="Times New Roman"/>
          <w:i/>
          <w:sz w:val="20"/>
          <w:szCs w:val="20"/>
        </w:rPr>
        <w:t xml:space="preserve">x </w:t>
      </w:r>
      <w:r w:rsidRPr="002B3A57">
        <w:rPr>
          <w:rFonts w:ascii="Times New Roman" w:hAnsi="Times New Roman"/>
          <w:sz w:val="20"/>
          <w:szCs w:val="20"/>
        </w:rPr>
        <w:t>enters the regression).</w:t>
      </w:r>
    </w:p>
  </w:footnote>
  <w:footnote w:id="9">
    <w:p w:rsidR="00AF17D0" w:rsidRDefault="00AF17D0" w:rsidP="00D15C4E">
      <w:pPr>
        <w:pStyle w:val="ColorfulList-Accent11"/>
        <w:spacing w:line="240" w:lineRule="auto"/>
        <w:ind w:left="0"/>
      </w:pPr>
      <w:r w:rsidRPr="002B3A57">
        <w:rPr>
          <w:rStyle w:val="FootnoteReference"/>
          <w:sz w:val="20"/>
          <w:szCs w:val="20"/>
        </w:rPr>
        <w:footnoteRef/>
      </w:r>
      <w:r w:rsidRPr="002B3A57">
        <w:rPr>
          <w:sz w:val="20"/>
          <w:szCs w:val="20"/>
        </w:rPr>
        <w:t xml:space="preserve"> The </w:t>
      </w:r>
      <w:r>
        <w:rPr>
          <w:sz w:val="20"/>
          <w:szCs w:val="20"/>
        </w:rPr>
        <w:t>pattern of</w:t>
      </w:r>
      <w:r w:rsidRPr="002B3A57">
        <w:rPr>
          <w:sz w:val="20"/>
          <w:szCs w:val="20"/>
        </w:rPr>
        <w:t xml:space="preserve"> instability </w:t>
      </w:r>
      <w:r>
        <w:rPr>
          <w:sz w:val="20"/>
          <w:szCs w:val="20"/>
        </w:rPr>
        <w:t>also surfaces when</w:t>
      </w:r>
      <w:r w:rsidRPr="002B3A57">
        <w:rPr>
          <w:sz w:val="20"/>
          <w:szCs w:val="20"/>
        </w:rPr>
        <w:t xml:space="preserve"> carrying out the analysis using regressions estimated over 40-quarter rolling samples (that is, 40-quarter fixed sample period lengths</w:t>
      </w:r>
      <w:r>
        <w:rPr>
          <w:sz w:val="20"/>
          <w:szCs w:val="20"/>
        </w:rPr>
        <w:t>)</w:t>
      </w:r>
      <w:r w:rsidRPr="002B3A57">
        <w:rPr>
          <w:sz w:val="20"/>
          <w:szCs w:val="20"/>
        </w:rPr>
        <w:t xml:space="preserve"> rather than </w:t>
      </w:r>
      <w:r>
        <w:rPr>
          <w:sz w:val="20"/>
          <w:szCs w:val="20"/>
        </w:rPr>
        <w:t xml:space="preserve">recursive estimates (that is, using </w:t>
      </w:r>
      <w:r w:rsidRPr="002B3A57">
        <w:rPr>
          <w:sz w:val="20"/>
          <w:szCs w:val="20"/>
        </w:rPr>
        <w:t xml:space="preserve">fixed starting points with sample periods that </w:t>
      </w:r>
      <w:r>
        <w:rPr>
          <w:sz w:val="20"/>
          <w:szCs w:val="20"/>
        </w:rPr>
        <w:t>lengthen with each new observation</w:t>
      </w:r>
      <w:r w:rsidRPr="002B3A57">
        <w:rPr>
          <w:sz w:val="20"/>
          <w:szCs w:val="20"/>
        </w:rPr>
        <w:t xml:space="preserve">).  </w:t>
      </w:r>
      <w:r>
        <w:rPr>
          <w:sz w:val="20"/>
          <w:szCs w:val="20"/>
        </w:rPr>
        <w:t>Overall, t</w:t>
      </w:r>
      <w:r w:rsidRPr="002B3A57">
        <w:rPr>
          <w:sz w:val="20"/>
          <w:szCs w:val="20"/>
        </w:rPr>
        <w:t xml:space="preserve">hese rolling regressions did not perform better than the recursive results, </w:t>
      </w:r>
      <w:r>
        <w:rPr>
          <w:sz w:val="20"/>
          <w:szCs w:val="20"/>
        </w:rPr>
        <w:t>but</w:t>
      </w:r>
      <w:r w:rsidRPr="002B3A57">
        <w:rPr>
          <w:sz w:val="20"/>
          <w:szCs w:val="20"/>
        </w:rPr>
        <w:t xml:space="preserve"> they </w:t>
      </w:r>
      <w:r>
        <w:rPr>
          <w:sz w:val="20"/>
          <w:szCs w:val="20"/>
        </w:rPr>
        <w:t>marginally outperformed</w:t>
      </w:r>
      <w:r w:rsidRPr="002B3A57">
        <w:rPr>
          <w:sz w:val="20"/>
          <w:szCs w:val="20"/>
        </w:rPr>
        <w:t xml:space="preserve"> </w:t>
      </w:r>
      <w:r>
        <w:rPr>
          <w:sz w:val="20"/>
          <w:szCs w:val="20"/>
        </w:rPr>
        <w:t>the recursive regressions</w:t>
      </w:r>
      <w:r w:rsidRPr="002B3A57">
        <w:rPr>
          <w:sz w:val="20"/>
          <w:szCs w:val="20"/>
        </w:rPr>
        <w:t xml:space="preserve"> during the latter 1980s. </w:t>
      </w:r>
    </w:p>
  </w:footnote>
  <w:footnote w:id="10">
    <w:p w:rsidR="00AF17D0" w:rsidRPr="00B47E57" w:rsidRDefault="00AF17D0">
      <w:pPr>
        <w:pStyle w:val="FootnoteText"/>
        <w:rPr>
          <w:rFonts w:ascii="Times New Roman" w:hAnsi="Times New Roman"/>
          <w:sz w:val="20"/>
          <w:szCs w:val="20"/>
        </w:rPr>
      </w:pPr>
      <w:r w:rsidRPr="00CD186A">
        <w:rPr>
          <w:rStyle w:val="FootnoteReference"/>
          <w:rFonts w:ascii="Times New Roman" w:hAnsi="Times New Roman"/>
          <w:sz w:val="20"/>
          <w:szCs w:val="20"/>
        </w:rPr>
        <w:footnoteRef/>
      </w:r>
      <w:r w:rsidRPr="00CD186A">
        <w:rPr>
          <w:rFonts w:ascii="Times New Roman" w:hAnsi="Times New Roman"/>
          <w:sz w:val="20"/>
          <w:szCs w:val="20"/>
        </w:rPr>
        <w:t xml:space="preserve"> We also carried out the analysis using the credit spreads constructed in Gilchrist, Yankov, and Zakrajšek (2009; hereafter GYZ) that are available for the post-1990 period. GYZ construct 20 spreads that differ in maturity and default risk. Over the final two five-year periods (2000:</w:t>
      </w:r>
      <w:r>
        <w:rPr>
          <w:rFonts w:ascii="Times New Roman" w:hAnsi="Times New Roman"/>
          <w:sz w:val="20"/>
          <w:szCs w:val="20"/>
        </w:rPr>
        <w:t>Q1</w:t>
      </w:r>
      <w:r w:rsidRPr="00CD186A">
        <w:rPr>
          <w:rFonts w:ascii="Times New Roman" w:hAnsi="Times New Roman"/>
          <w:sz w:val="20"/>
          <w:szCs w:val="20"/>
        </w:rPr>
        <w:t>-2004:</w:t>
      </w:r>
      <w:r>
        <w:rPr>
          <w:rFonts w:ascii="Times New Roman" w:hAnsi="Times New Roman"/>
          <w:sz w:val="20"/>
          <w:szCs w:val="20"/>
        </w:rPr>
        <w:t>Q4</w:t>
      </w:r>
      <w:r w:rsidRPr="00CD186A">
        <w:rPr>
          <w:rFonts w:ascii="Times New Roman" w:hAnsi="Times New Roman"/>
          <w:sz w:val="20"/>
          <w:szCs w:val="20"/>
        </w:rPr>
        <w:t>, and 2005:</w:t>
      </w:r>
      <w:r>
        <w:rPr>
          <w:rFonts w:ascii="Times New Roman" w:hAnsi="Times New Roman"/>
          <w:sz w:val="20"/>
          <w:szCs w:val="20"/>
        </w:rPr>
        <w:t>Q1</w:t>
      </w:r>
      <w:r w:rsidRPr="00CD186A">
        <w:rPr>
          <w:rFonts w:ascii="Times New Roman" w:hAnsi="Times New Roman"/>
          <w:sz w:val="20"/>
          <w:szCs w:val="20"/>
        </w:rPr>
        <w:t>-EOS), the average RMSEs were 0.98 and 0.7</w:t>
      </w:r>
      <w:r>
        <w:rPr>
          <w:rFonts w:ascii="Times New Roman" w:hAnsi="Times New Roman"/>
          <w:sz w:val="20"/>
          <w:szCs w:val="20"/>
        </w:rPr>
        <w:t>8</w:t>
      </w:r>
      <w:r w:rsidRPr="00CD186A">
        <w:rPr>
          <w:rFonts w:ascii="Times New Roman" w:hAnsi="Times New Roman"/>
          <w:sz w:val="20"/>
          <w:szCs w:val="20"/>
        </w:rPr>
        <w:t xml:space="preserve"> for </w:t>
      </w:r>
      <w:r w:rsidRPr="0033504C">
        <w:rPr>
          <w:rFonts w:ascii="Times New Roman" w:hAnsi="Times New Roman"/>
          <w:i/>
          <w:sz w:val="20"/>
          <w:szCs w:val="20"/>
        </w:rPr>
        <w:t>h</w:t>
      </w:r>
      <w:r w:rsidRPr="00CD186A">
        <w:rPr>
          <w:rFonts w:ascii="Times New Roman" w:hAnsi="Times New Roman"/>
          <w:sz w:val="20"/>
          <w:szCs w:val="20"/>
        </w:rPr>
        <w:t xml:space="preserve"> = 2 and 1.</w:t>
      </w:r>
      <w:r>
        <w:rPr>
          <w:rFonts w:ascii="Times New Roman" w:hAnsi="Times New Roman"/>
          <w:sz w:val="20"/>
          <w:szCs w:val="20"/>
        </w:rPr>
        <w:t>22</w:t>
      </w:r>
      <w:r w:rsidRPr="00CD186A">
        <w:rPr>
          <w:rFonts w:ascii="Times New Roman" w:hAnsi="Times New Roman"/>
          <w:sz w:val="20"/>
          <w:szCs w:val="20"/>
        </w:rPr>
        <w:t xml:space="preserve"> and 0.</w:t>
      </w:r>
      <w:r>
        <w:rPr>
          <w:rFonts w:ascii="Times New Roman" w:hAnsi="Times New Roman"/>
          <w:sz w:val="20"/>
          <w:szCs w:val="20"/>
        </w:rPr>
        <w:t>87</w:t>
      </w:r>
      <w:r w:rsidRPr="00CD186A">
        <w:rPr>
          <w:rFonts w:ascii="Times New Roman" w:hAnsi="Times New Roman"/>
          <w:sz w:val="20"/>
          <w:szCs w:val="20"/>
        </w:rPr>
        <w:t xml:space="preserve"> for </w:t>
      </w:r>
      <w:r w:rsidRPr="0033504C">
        <w:rPr>
          <w:rFonts w:ascii="Times New Roman" w:hAnsi="Times New Roman"/>
          <w:i/>
          <w:sz w:val="20"/>
          <w:szCs w:val="20"/>
        </w:rPr>
        <w:t>h</w:t>
      </w:r>
      <w:r w:rsidRPr="00CD186A">
        <w:rPr>
          <w:rFonts w:ascii="Times New Roman" w:hAnsi="Times New Roman"/>
          <w:sz w:val="20"/>
          <w:szCs w:val="20"/>
        </w:rPr>
        <w:t xml:space="preserve"> = 4.  Results using a single principal component from the 20 spreads were </w:t>
      </w:r>
      <w:r>
        <w:rPr>
          <w:rFonts w:ascii="Times New Roman" w:hAnsi="Times New Roman"/>
          <w:sz w:val="20"/>
          <w:szCs w:val="20"/>
        </w:rPr>
        <w:t>similar</w:t>
      </w:r>
      <w:r w:rsidRPr="00CD186A">
        <w:rPr>
          <w:rFonts w:ascii="Times New Roman" w:hAnsi="Times New Roman"/>
          <w:sz w:val="20"/>
          <w:szCs w:val="20"/>
        </w:rPr>
        <w:t xml:space="preserve"> (0.</w:t>
      </w:r>
      <w:r>
        <w:rPr>
          <w:rFonts w:ascii="Times New Roman" w:hAnsi="Times New Roman"/>
          <w:sz w:val="20"/>
          <w:szCs w:val="20"/>
        </w:rPr>
        <w:t>96</w:t>
      </w:r>
      <w:r w:rsidRPr="00CD186A">
        <w:rPr>
          <w:rFonts w:ascii="Times New Roman" w:hAnsi="Times New Roman"/>
          <w:sz w:val="20"/>
          <w:szCs w:val="20"/>
        </w:rPr>
        <w:t xml:space="preserve"> and 0.</w:t>
      </w:r>
      <w:r>
        <w:rPr>
          <w:rFonts w:ascii="Times New Roman" w:hAnsi="Times New Roman"/>
          <w:sz w:val="20"/>
          <w:szCs w:val="20"/>
        </w:rPr>
        <w:t>71</w:t>
      </w:r>
      <w:r w:rsidRPr="00CD186A">
        <w:rPr>
          <w:rFonts w:ascii="Times New Roman" w:hAnsi="Times New Roman"/>
          <w:sz w:val="20"/>
          <w:szCs w:val="20"/>
        </w:rPr>
        <w:t xml:space="preserve"> for </w:t>
      </w:r>
      <w:r w:rsidRPr="0033504C">
        <w:rPr>
          <w:rFonts w:ascii="Times New Roman" w:hAnsi="Times New Roman"/>
          <w:i/>
          <w:sz w:val="20"/>
          <w:szCs w:val="20"/>
        </w:rPr>
        <w:t>h</w:t>
      </w:r>
      <w:r w:rsidRPr="00CD186A">
        <w:rPr>
          <w:rFonts w:ascii="Times New Roman" w:hAnsi="Times New Roman"/>
          <w:sz w:val="20"/>
          <w:szCs w:val="20"/>
        </w:rPr>
        <w:t xml:space="preserve"> = 2 and </w:t>
      </w:r>
      <w:r>
        <w:rPr>
          <w:rFonts w:ascii="Times New Roman" w:hAnsi="Times New Roman"/>
          <w:sz w:val="20"/>
          <w:szCs w:val="20"/>
        </w:rPr>
        <w:t>1.13</w:t>
      </w:r>
      <w:r w:rsidRPr="00CD186A">
        <w:rPr>
          <w:rFonts w:ascii="Times New Roman" w:hAnsi="Times New Roman"/>
          <w:sz w:val="20"/>
          <w:szCs w:val="20"/>
        </w:rPr>
        <w:t xml:space="preserve"> and 0.</w:t>
      </w:r>
      <w:r>
        <w:rPr>
          <w:rFonts w:ascii="Times New Roman" w:hAnsi="Times New Roman"/>
          <w:sz w:val="20"/>
          <w:szCs w:val="20"/>
        </w:rPr>
        <w:t>83</w:t>
      </w:r>
      <w:r w:rsidRPr="00CD186A">
        <w:rPr>
          <w:rFonts w:ascii="Times New Roman" w:hAnsi="Times New Roman"/>
          <w:sz w:val="20"/>
          <w:szCs w:val="20"/>
        </w:rPr>
        <w:t xml:space="preserve"> for </w:t>
      </w:r>
      <w:r w:rsidRPr="0033504C">
        <w:rPr>
          <w:rFonts w:ascii="Times New Roman" w:hAnsi="Times New Roman"/>
          <w:i/>
          <w:sz w:val="20"/>
          <w:szCs w:val="20"/>
        </w:rPr>
        <w:t>h</w:t>
      </w:r>
      <w:r w:rsidRPr="00CD186A">
        <w:rPr>
          <w:rFonts w:ascii="Times New Roman" w:hAnsi="Times New Roman"/>
          <w:sz w:val="20"/>
          <w:szCs w:val="20"/>
        </w:rPr>
        <w:t xml:space="preserve"> = 4).  Thus, consistent with results reported in GYZ, we find that their default spreads </w:t>
      </w:r>
      <w:r>
        <w:rPr>
          <w:rFonts w:ascii="Times New Roman" w:hAnsi="Times New Roman"/>
          <w:sz w:val="20"/>
          <w:szCs w:val="20"/>
        </w:rPr>
        <w:t>forecast relatively well</w:t>
      </w:r>
      <w:r w:rsidRPr="00CD186A">
        <w:rPr>
          <w:rFonts w:ascii="Times New Roman" w:hAnsi="Times New Roman"/>
          <w:sz w:val="20"/>
          <w:szCs w:val="20"/>
        </w:rPr>
        <w:t xml:space="preserve"> during the 2000’s.</w:t>
      </w:r>
    </w:p>
  </w:footnote>
  <w:footnote w:id="11">
    <w:p w:rsidR="00AF17D0" w:rsidRPr="002B3A57" w:rsidRDefault="00AF17D0" w:rsidP="009210F9">
      <w:pPr>
        <w:pStyle w:val="FootnoteText"/>
        <w:rPr>
          <w:rFonts w:ascii="Times New Roman" w:hAnsi="Times New Roman"/>
          <w:sz w:val="20"/>
          <w:szCs w:val="20"/>
        </w:rPr>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w:t>
      </w:r>
      <w:r w:rsidRPr="00E54235">
        <w:rPr>
          <w:rFonts w:ascii="Times New Roman" w:hAnsi="Times New Roman"/>
          <w:sz w:val="20"/>
        </w:rPr>
        <w:t>For this reason we also used the princip</w:t>
      </w:r>
      <w:r>
        <w:rPr>
          <w:rFonts w:ascii="Times New Roman" w:hAnsi="Times New Roman"/>
          <w:sz w:val="20"/>
        </w:rPr>
        <w:t>al</w:t>
      </w:r>
      <w:r w:rsidRPr="00E54235">
        <w:rPr>
          <w:rFonts w:ascii="Times New Roman" w:hAnsi="Times New Roman"/>
          <w:sz w:val="20"/>
        </w:rPr>
        <w:t xml:space="preserve"> component (PC) portion of the DB index, which is not subject to such a bias and should therefore give us some indication on the potential significance of this bias. </w:t>
      </w:r>
      <w:r w:rsidRPr="00E54235">
        <w:rPr>
          <w:rFonts w:ascii="Times New Roman" w:hAnsi="Times New Roman"/>
          <w:sz w:val="20"/>
          <w:szCs w:val="20"/>
        </w:rPr>
        <w:t>Because the GS index exhibits substantial low-frequency (“trending”) behavior, we carried out the analysis using two versions of the index, level and first-difference.  Figure 2.2 shows the year-over year difference in the GS index.</w:t>
      </w:r>
    </w:p>
  </w:footnote>
  <w:footnote w:id="12">
    <w:p w:rsidR="00AF17D0" w:rsidRPr="00434017" w:rsidRDefault="00AF17D0">
      <w:pPr>
        <w:pStyle w:val="FootnoteText"/>
        <w:rPr>
          <w:rFonts w:ascii="Times New Roman" w:hAnsi="Times New Roman"/>
          <w:sz w:val="20"/>
          <w:szCs w:val="20"/>
        </w:rPr>
      </w:pPr>
      <w:r>
        <w:rPr>
          <w:rStyle w:val="FootnoteReference"/>
        </w:rPr>
        <w:footnoteRef/>
      </w:r>
      <w:r>
        <w:t xml:space="preserve"> </w:t>
      </w:r>
      <w:r>
        <w:rPr>
          <w:rFonts w:ascii="Times New Roman" w:hAnsi="Times New Roman"/>
          <w:sz w:val="20"/>
          <w:szCs w:val="20"/>
        </w:rPr>
        <w:t xml:space="preserve">A natural question is whether the richness of our FCI also allows us to capture the vulnerabilities associated with high levels of financial leverage, which have become so obvious during the financial crisis.  The answer is “not really.”  We do include broker-dealer leverage, measured as the ratio of total assets to total equity capital of broker-dealers, as well as several indicators that proxy for leverage in the broader economy, such as the market capitalization of financial stocks and the economywide level of debt.  However, our empirical approach is only able to identify the predictive power of a </w:t>
      </w:r>
      <w:r w:rsidRPr="00A3299F">
        <w:rPr>
          <w:rFonts w:ascii="Times New Roman" w:hAnsi="Times New Roman"/>
          <w:i/>
          <w:sz w:val="20"/>
          <w:szCs w:val="20"/>
        </w:rPr>
        <w:t>decline</w:t>
      </w:r>
      <w:r>
        <w:rPr>
          <w:rFonts w:ascii="Times New Roman" w:hAnsi="Times New Roman"/>
          <w:sz w:val="20"/>
          <w:szCs w:val="20"/>
        </w:rPr>
        <w:t xml:space="preserve"> in leverage for subsequent economic weakness, not that of a high </w:t>
      </w:r>
      <w:r w:rsidRPr="00A3299F">
        <w:rPr>
          <w:rFonts w:ascii="Times New Roman" w:hAnsi="Times New Roman"/>
          <w:i/>
          <w:sz w:val="20"/>
          <w:szCs w:val="20"/>
        </w:rPr>
        <w:t>level</w:t>
      </w:r>
      <w:r>
        <w:rPr>
          <w:rFonts w:ascii="Times New Roman" w:hAnsi="Times New Roman"/>
          <w:sz w:val="20"/>
          <w:szCs w:val="20"/>
        </w:rPr>
        <w:t xml:space="preserve"> of leverage.  The reason is that most if not all leverage measures are statistically non-stationary, so we need to transform them into growth rates before including them in our analysis.  At least in theory, a different statistical approach that aims to capture “cointegrating” relationships between the levels of different variables may be capable of capturing such information.  However, such an approach would probably need to impose considerably more theoretical structure on the relationship between financial measures and economic outcomes than we do in our more flexible econometric approach.</w:t>
      </w:r>
    </w:p>
  </w:footnote>
  <w:footnote w:id="13">
    <w:p w:rsidR="00AF17D0" w:rsidRPr="00E71C46" w:rsidRDefault="00AF17D0">
      <w:pPr>
        <w:pStyle w:val="FootnoteText"/>
        <w:rPr>
          <w:rFonts w:ascii="Times New Roman" w:hAnsi="Times New Roman"/>
          <w:sz w:val="20"/>
          <w:szCs w:val="20"/>
        </w:rPr>
      </w:pPr>
      <w:r w:rsidRPr="00E71C46">
        <w:rPr>
          <w:rStyle w:val="FootnoteReference"/>
          <w:rFonts w:ascii="Times New Roman" w:hAnsi="Times New Roman"/>
          <w:sz w:val="20"/>
          <w:szCs w:val="20"/>
        </w:rPr>
        <w:footnoteRef/>
      </w:r>
      <w:r w:rsidRPr="00E71C46">
        <w:rPr>
          <w:rFonts w:ascii="Times New Roman" w:hAnsi="Times New Roman"/>
          <w:sz w:val="20"/>
          <w:szCs w:val="20"/>
        </w:rPr>
        <w:t xml:space="preserve"> In effect, we measure financial conditions relative to the setting that would be typical at a particular stage of the business cycle.  For example, this approach means that the impact on our FCI of a 250-basis-point spread between the yields of Baa corporate bonds and 10-year Treasuries may be restrictive during an economic expansion and accommodative during a recession.</w:t>
      </w:r>
    </w:p>
  </w:footnote>
  <w:footnote w:id="14">
    <w:p w:rsidR="00AF17D0" w:rsidRDefault="00AF17D0" w:rsidP="009210F9">
      <w:pPr>
        <w:pStyle w:val="FootnoteText"/>
        <w:rPr>
          <w:rFonts w:ascii="Times New Roman" w:hAnsi="Times New Roman"/>
          <w:sz w:val="20"/>
          <w:szCs w:val="20"/>
        </w:rPr>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When the panel is balanced, the solution to the least squares problem provides the principal components of </w:t>
      </w:r>
      <w:r w:rsidRPr="002B3A57">
        <w:rPr>
          <w:rFonts w:ascii="Times New Roman" w:hAnsi="Times New Roman"/>
          <w:position w:val="-10"/>
          <w:sz w:val="20"/>
          <w:szCs w:val="20"/>
        </w:rPr>
        <w:object w:dxaOrig="240" w:dyaOrig="300">
          <v:shape id="_x0000_i1041" type="#_x0000_t75" style="width:12pt;height:15.25pt" o:ole="">
            <v:imagedata r:id="rId1" o:title=""/>
          </v:shape>
          <o:OLEObject Type="Embed" ProgID="Equation.DSMT4" ShapeID="_x0000_i1041" DrawAspect="Content" ObjectID="_1332680870" r:id="rId2"/>
        </w:object>
      </w:r>
      <w:r w:rsidRPr="002B3A57">
        <w:rPr>
          <w:rFonts w:ascii="Times New Roman" w:hAnsi="Times New Roman"/>
          <w:sz w:val="20"/>
          <w:szCs w:val="20"/>
        </w:rPr>
        <w:t xml:space="preserve"> which can be computed as the eigenvectors of the sample covariance matrix.  In the unbalanced panel, iterative methods can be used to find the least squares solution.</w:t>
      </w:r>
    </w:p>
    <w:p w:rsidR="00AF17D0" w:rsidRPr="002B3A57" w:rsidRDefault="00AF17D0" w:rsidP="009210F9">
      <w:pPr>
        <w:pStyle w:val="FootnoteText"/>
        <w:rPr>
          <w:rFonts w:ascii="Times New Roman" w:hAnsi="Times New Roman"/>
          <w:sz w:val="20"/>
          <w:szCs w:val="20"/>
        </w:rPr>
      </w:pPr>
    </w:p>
  </w:footnote>
  <w:footnote w:id="15">
    <w:p w:rsidR="00AF17D0" w:rsidRDefault="00AF17D0" w:rsidP="009210F9">
      <w:pPr>
        <w:pStyle w:val="FootnoteText"/>
        <w:rPr>
          <w:rFonts w:ascii="Times New Roman" w:hAnsi="Times New Roman"/>
          <w:sz w:val="20"/>
          <w:szCs w:val="20"/>
        </w:rPr>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Because </w:t>
      </w:r>
      <w:r w:rsidRPr="002B3A57">
        <w:rPr>
          <w:rFonts w:ascii="Times New Roman" w:hAnsi="Times New Roman"/>
          <w:i/>
          <w:sz w:val="20"/>
          <w:szCs w:val="20"/>
        </w:rPr>
        <w:sym w:font="Symbol" w:char="F06C"/>
      </w:r>
      <w:r w:rsidRPr="002B3A57">
        <w:rPr>
          <w:rFonts w:ascii="Times New Roman" w:hAnsi="Times New Roman"/>
          <w:i/>
          <w:sz w:val="20"/>
          <w:szCs w:val="20"/>
          <w:vertAlign w:val="subscript"/>
        </w:rPr>
        <w:t>i</w:t>
      </w:r>
      <w:r w:rsidRPr="002B3A57">
        <w:rPr>
          <w:rFonts w:ascii="Times New Roman" w:hAnsi="Times New Roman"/>
          <w:sz w:val="20"/>
          <w:szCs w:val="20"/>
        </w:rPr>
        <w:t>′</w:t>
      </w:r>
      <w:r w:rsidRPr="002B3A57">
        <w:rPr>
          <w:rFonts w:ascii="Times New Roman" w:hAnsi="Times New Roman"/>
          <w:i/>
          <w:sz w:val="20"/>
          <w:szCs w:val="20"/>
        </w:rPr>
        <w:t>F</w:t>
      </w:r>
      <w:r w:rsidRPr="002B3A57">
        <w:rPr>
          <w:rFonts w:ascii="Times New Roman" w:hAnsi="Times New Roman"/>
          <w:i/>
          <w:sz w:val="20"/>
          <w:szCs w:val="20"/>
          <w:vertAlign w:val="subscript"/>
        </w:rPr>
        <w:t>t</w:t>
      </w:r>
      <w:r w:rsidRPr="002B3A57">
        <w:rPr>
          <w:rFonts w:ascii="Times New Roman" w:hAnsi="Times New Roman"/>
          <w:sz w:val="20"/>
          <w:szCs w:val="20"/>
        </w:rPr>
        <w:t xml:space="preserve"> = </w:t>
      </w:r>
      <w:r w:rsidRPr="002B3A57">
        <w:rPr>
          <w:rFonts w:ascii="Times New Roman" w:hAnsi="Times New Roman"/>
          <w:i/>
          <w:sz w:val="20"/>
          <w:szCs w:val="20"/>
        </w:rPr>
        <w:sym w:font="Symbol" w:char="F06C"/>
      </w:r>
      <w:r w:rsidRPr="002B3A57">
        <w:rPr>
          <w:rFonts w:ascii="Times New Roman" w:hAnsi="Times New Roman"/>
          <w:i/>
          <w:sz w:val="20"/>
          <w:szCs w:val="20"/>
          <w:vertAlign w:val="subscript"/>
        </w:rPr>
        <w:t>i</w:t>
      </w:r>
      <w:r w:rsidRPr="002B3A57">
        <w:rPr>
          <w:rFonts w:ascii="Times New Roman" w:hAnsi="Times New Roman"/>
          <w:sz w:val="20"/>
          <w:szCs w:val="20"/>
        </w:rPr>
        <w:t>′</w:t>
      </w:r>
      <w:r w:rsidRPr="002B3A57">
        <w:rPr>
          <w:rFonts w:ascii="Times New Roman" w:hAnsi="Times New Roman"/>
          <w:i/>
          <w:sz w:val="20"/>
          <w:szCs w:val="20"/>
        </w:rPr>
        <w:t>H</w:t>
      </w:r>
      <w:r w:rsidRPr="002B3A57">
        <w:rPr>
          <w:rFonts w:ascii="Times New Roman" w:hAnsi="Times New Roman"/>
          <w:sz w:val="20"/>
          <w:szCs w:val="20"/>
          <w:vertAlign w:val="superscript"/>
        </w:rPr>
        <w:t>−1</w:t>
      </w:r>
      <w:r w:rsidRPr="002B3A57">
        <w:rPr>
          <w:rFonts w:ascii="Times New Roman" w:hAnsi="Times New Roman"/>
          <w:i/>
          <w:sz w:val="20"/>
          <w:szCs w:val="20"/>
        </w:rPr>
        <w:t>HF</w:t>
      </w:r>
      <w:r w:rsidRPr="002B3A57">
        <w:rPr>
          <w:rFonts w:ascii="Times New Roman" w:hAnsi="Times New Roman"/>
          <w:i/>
          <w:sz w:val="20"/>
          <w:szCs w:val="20"/>
          <w:vertAlign w:val="subscript"/>
        </w:rPr>
        <w:t>t</w:t>
      </w:r>
      <w:r w:rsidRPr="002B3A57">
        <w:rPr>
          <w:rFonts w:ascii="Times New Roman" w:hAnsi="Times New Roman"/>
          <w:sz w:val="20"/>
          <w:szCs w:val="20"/>
        </w:rPr>
        <w:t xml:space="preserve"> for any non-singular matrix </w:t>
      </w:r>
      <w:r w:rsidRPr="002B3A57">
        <w:rPr>
          <w:rFonts w:ascii="Times New Roman" w:hAnsi="Times New Roman"/>
          <w:i/>
          <w:sz w:val="20"/>
          <w:szCs w:val="20"/>
        </w:rPr>
        <w:t>H</w:t>
      </w:r>
      <w:r w:rsidRPr="002B3A57">
        <w:rPr>
          <w:rFonts w:ascii="Times New Roman" w:hAnsi="Times New Roman"/>
          <w:sz w:val="20"/>
          <w:szCs w:val="20"/>
        </w:rPr>
        <w:t xml:space="preserve">, only the column space of the factors can be identified from the data, and so an arbitrary normalization is imposed on the least squares problem.  However, only the column space of </w:t>
      </w:r>
      <w:r w:rsidRPr="002B3A57">
        <w:rPr>
          <w:rFonts w:ascii="Times New Roman" w:hAnsi="Times New Roman"/>
          <w:i/>
          <w:sz w:val="20"/>
          <w:szCs w:val="20"/>
        </w:rPr>
        <w:t>F</w:t>
      </w:r>
      <w:r w:rsidRPr="002B3A57">
        <w:rPr>
          <w:rFonts w:ascii="Times New Roman" w:hAnsi="Times New Roman"/>
          <w:i/>
          <w:sz w:val="20"/>
          <w:szCs w:val="20"/>
          <w:vertAlign w:val="subscript"/>
        </w:rPr>
        <w:t>t</w:t>
      </w:r>
      <w:r w:rsidRPr="002B3A57">
        <w:rPr>
          <w:rFonts w:ascii="Times New Roman" w:hAnsi="Times New Roman"/>
          <w:sz w:val="20"/>
          <w:szCs w:val="20"/>
        </w:rPr>
        <w:t xml:space="preserve"> matters for our predictive regressions (the fitted value from a regression of </w:t>
      </w:r>
      <w:r w:rsidRPr="002B3A57">
        <w:rPr>
          <w:rFonts w:ascii="Times New Roman" w:hAnsi="Times New Roman"/>
          <w:i/>
          <w:sz w:val="20"/>
          <w:szCs w:val="20"/>
        </w:rPr>
        <w:t xml:space="preserve">y </w:t>
      </w:r>
      <w:r w:rsidRPr="002B3A57">
        <w:rPr>
          <w:rFonts w:ascii="Times New Roman" w:hAnsi="Times New Roman"/>
          <w:sz w:val="20"/>
          <w:szCs w:val="20"/>
        </w:rPr>
        <w:t xml:space="preserve">onto </w:t>
      </w:r>
      <w:r w:rsidRPr="002B3A57">
        <w:rPr>
          <w:rFonts w:ascii="Times New Roman" w:hAnsi="Times New Roman"/>
          <w:i/>
          <w:sz w:val="20"/>
          <w:szCs w:val="20"/>
        </w:rPr>
        <w:t xml:space="preserve">F </w:t>
      </w:r>
      <w:r w:rsidRPr="002B3A57">
        <w:rPr>
          <w:rFonts w:ascii="Times New Roman" w:hAnsi="Times New Roman"/>
          <w:sz w:val="20"/>
          <w:szCs w:val="20"/>
        </w:rPr>
        <w:t xml:space="preserve"> is the same as the fitted value from the regression of  </w:t>
      </w:r>
      <w:r w:rsidRPr="002B3A57">
        <w:rPr>
          <w:rFonts w:ascii="Times New Roman" w:hAnsi="Times New Roman"/>
          <w:i/>
          <w:sz w:val="20"/>
          <w:szCs w:val="20"/>
        </w:rPr>
        <w:t xml:space="preserve">y </w:t>
      </w:r>
      <w:r w:rsidRPr="002B3A57">
        <w:rPr>
          <w:rFonts w:ascii="Times New Roman" w:hAnsi="Times New Roman"/>
          <w:sz w:val="20"/>
          <w:szCs w:val="20"/>
        </w:rPr>
        <w:t xml:space="preserve">onto </w:t>
      </w:r>
      <w:r w:rsidRPr="002B3A57">
        <w:rPr>
          <w:rFonts w:ascii="Times New Roman" w:hAnsi="Times New Roman"/>
          <w:i/>
          <w:sz w:val="20"/>
          <w:szCs w:val="20"/>
        </w:rPr>
        <w:t>HF</w:t>
      </w:r>
      <w:r w:rsidRPr="002B3A57">
        <w:rPr>
          <w:rFonts w:ascii="Times New Roman" w:hAnsi="Times New Roman"/>
          <w:sz w:val="20"/>
          <w:szCs w:val="20"/>
        </w:rPr>
        <w:t xml:space="preserve">), so the normalization has no </w:t>
      </w:r>
      <w:r>
        <w:rPr>
          <w:rFonts w:ascii="Times New Roman" w:hAnsi="Times New Roman"/>
          <w:sz w:val="20"/>
          <w:szCs w:val="20"/>
        </w:rPr>
        <w:t>e</w:t>
      </w:r>
      <w:r w:rsidRPr="002B3A57">
        <w:rPr>
          <w:rFonts w:ascii="Times New Roman" w:hAnsi="Times New Roman"/>
          <w:sz w:val="20"/>
          <w:szCs w:val="20"/>
        </w:rPr>
        <w:t>ffect on the forecasts.</w:t>
      </w:r>
    </w:p>
    <w:p w:rsidR="00AF17D0" w:rsidRPr="002B3A57" w:rsidRDefault="00AF17D0" w:rsidP="009210F9">
      <w:pPr>
        <w:pStyle w:val="FootnoteText"/>
        <w:rPr>
          <w:rFonts w:ascii="Times New Roman" w:hAnsi="Times New Roman"/>
          <w:sz w:val="20"/>
          <w:szCs w:val="20"/>
        </w:rPr>
      </w:pPr>
    </w:p>
  </w:footnote>
  <w:footnote w:id="16">
    <w:p w:rsidR="00AF17D0" w:rsidRDefault="00AF17D0" w:rsidP="009210F9">
      <w:pPr>
        <w:pStyle w:val="FootnoteText"/>
      </w:pPr>
      <w:r w:rsidRPr="002B3A57">
        <w:rPr>
          <w:rStyle w:val="FootnoteReference"/>
          <w:rFonts w:ascii="Times New Roman" w:hAnsi="Times New Roman"/>
          <w:sz w:val="20"/>
          <w:szCs w:val="20"/>
        </w:rPr>
        <w:footnoteRef/>
      </w:r>
      <w:r w:rsidRPr="002B3A57">
        <w:rPr>
          <w:rFonts w:ascii="Times New Roman" w:hAnsi="Times New Roman"/>
          <w:sz w:val="20"/>
          <w:szCs w:val="20"/>
        </w:rPr>
        <w:t xml:space="preserve"> We carried out estimation of the factors for all dates in which we have data on 11 or more financial indicators.</w:t>
      </w:r>
    </w:p>
  </w:footnote>
  <w:footnote w:id="17">
    <w:p w:rsidR="00AF17D0" w:rsidRPr="00842F81" w:rsidRDefault="00AF17D0">
      <w:pPr>
        <w:pStyle w:val="FootnoteText"/>
        <w:rPr>
          <w:rFonts w:ascii="Times New Roman" w:hAnsi="Times New Roman"/>
          <w:sz w:val="20"/>
          <w:szCs w:val="20"/>
        </w:rPr>
      </w:pPr>
      <w:r w:rsidRPr="00A3299F">
        <w:rPr>
          <w:rStyle w:val="FootnoteReference"/>
          <w:rFonts w:ascii="Times New Roman" w:hAnsi="Times New Roman"/>
          <w:sz w:val="20"/>
          <w:szCs w:val="20"/>
        </w:rPr>
        <w:footnoteRef/>
      </w:r>
      <w:r w:rsidRPr="00A3299F">
        <w:rPr>
          <w:rFonts w:ascii="Times New Roman" w:hAnsi="Times New Roman"/>
          <w:sz w:val="20"/>
          <w:szCs w:val="20"/>
        </w:rPr>
        <w:t xml:space="preserve"> To update our FCI through </w:t>
      </w:r>
      <w:r>
        <w:rPr>
          <w:rFonts w:ascii="Times New Roman" w:hAnsi="Times New Roman"/>
          <w:sz w:val="20"/>
          <w:szCs w:val="20"/>
        </w:rPr>
        <w:t>the fourth quarter</w:t>
      </w:r>
      <w:r w:rsidRPr="00A3299F">
        <w:rPr>
          <w:rFonts w:ascii="Times New Roman" w:hAnsi="Times New Roman"/>
          <w:sz w:val="20"/>
          <w:szCs w:val="20"/>
        </w:rPr>
        <w:t xml:space="preserve"> of 2009</w:t>
      </w:r>
      <w:r>
        <w:rPr>
          <w:rFonts w:ascii="Times New Roman" w:hAnsi="Times New Roman"/>
          <w:sz w:val="20"/>
          <w:szCs w:val="20"/>
        </w:rPr>
        <w:t>,</w:t>
      </w:r>
      <w:r w:rsidRPr="00A3299F">
        <w:rPr>
          <w:rFonts w:ascii="Times New Roman" w:hAnsi="Times New Roman"/>
          <w:sz w:val="20"/>
          <w:szCs w:val="20"/>
        </w:rPr>
        <w:t xml:space="preserve"> we estimate</w:t>
      </w:r>
      <w:r>
        <w:rPr>
          <w:rFonts w:ascii="Times New Roman" w:hAnsi="Times New Roman"/>
          <w:sz w:val="20"/>
          <w:szCs w:val="20"/>
        </w:rPr>
        <w:t>d</w:t>
      </w:r>
      <w:r w:rsidRPr="00A3299F">
        <w:rPr>
          <w:rFonts w:ascii="Times New Roman" w:hAnsi="Times New Roman"/>
          <w:sz w:val="20"/>
          <w:szCs w:val="20"/>
        </w:rPr>
        <w:t xml:space="preserve"> a number of series obtained from the Flow of Funds, as described in the data Annex. </w:t>
      </w:r>
    </w:p>
  </w:footnote>
  <w:footnote w:id="18">
    <w:p w:rsidR="00AF17D0" w:rsidRDefault="00AF17D0" w:rsidP="009210F9">
      <w:pPr>
        <w:pStyle w:val="FootnoteText"/>
      </w:pPr>
      <w:r>
        <w:rPr>
          <w:rStyle w:val="FootnoteReference"/>
        </w:rPr>
        <w:footnoteRef/>
      </w:r>
      <w:r>
        <w:t xml:space="preserve">  </w:t>
      </w:r>
      <w:r>
        <w:rPr>
          <w:rFonts w:ascii="Times New Roman" w:hAnsi="Times New Roman"/>
          <w:sz w:val="20"/>
          <w:szCs w:val="20"/>
        </w:rPr>
        <w:t>At each date, th</w:t>
      </w:r>
      <w:r w:rsidRPr="00CD186A">
        <w:rPr>
          <w:rFonts w:ascii="Times New Roman" w:hAnsi="Times New Roman"/>
          <w:sz w:val="20"/>
          <w:szCs w:val="20"/>
        </w:rPr>
        <w:t xml:space="preserve">e FCI is a linear </w:t>
      </w:r>
      <w:r>
        <w:rPr>
          <w:rFonts w:ascii="Times New Roman" w:hAnsi="Times New Roman"/>
          <w:sz w:val="20"/>
          <w:szCs w:val="20"/>
        </w:rPr>
        <w:t xml:space="preserve">combination of the 45 variables, where the weights change through time because of the unbalanced nature of the data set.  Each panel in Figure 5.4 shows the contribution to the overall FCI of the group of variables indicated in the headline.  </w:t>
      </w:r>
    </w:p>
  </w:footnote>
  <w:footnote w:id="19">
    <w:p w:rsidR="00F67DBD" w:rsidRPr="00F67DBD" w:rsidRDefault="00AF17D0" w:rsidP="00F67DBD">
      <w:pPr>
        <w:autoSpaceDE w:val="0"/>
        <w:autoSpaceDN w:val="0"/>
        <w:adjustRightInd w:val="0"/>
        <w:rPr>
          <w:rFonts w:ascii="Times New Roman" w:hAnsi="Times New Roman"/>
          <w:color w:val="000000"/>
          <w:sz w:val="22"/>
          <w:szCs w:val="22"/>
        </w:rPr>
      </w:pPr>
      <w:r>
        <w:rPr>
          <w:rStyle w:val="FootnoteReference"/>
        </w:rPr>
        <w:footnoteRef/>
      </w:r>
      <w:r>
        <w:t xml:space="preserve"> </w:t>
      </w:r>
      <w:r w:rsidR="00BB7BE6" w:rsidRPr="005F381F">
        <w:rPr>
          <w:rFonts w:ascii="Times New Roman" w:hAnsi="Times New Roman"/>
          <w:color w:val="000000"/>
          <w:sz w:val="20"/>
          <w:szCs w:val="20"/>
        </w:rPr>
        <w:t>There were two local minima in the least squares function defining the non-purged FCI. The index corresponding to the lowest of these had unusual variation patterns over the last decade in the sample while the index corresponding to the largest of the two local minima behaved much like the FCI plotted in Figure 5.1.  Moreover, the index associated with the larger of two minima produced more accurate forecasts than the other index.  For these reasons we used the index associated with the largest of the two local minima as the non-purged index. The purged FCI corresponds to usual principal component.</w:t>
      </w:r>
    </w:p>
    <w:p w:rsidR="00AF17D0" w:rsidRDefault="00AF17D0">
      <w:pPr>
        <w:pStyle w:val="FootnoteText"/>
      </w:pPr>
    </w:p>
  </w:footnote>
  <w:footnote w:id="20">
    <w:p w:rsidR="00AF17D0" w:rsidRPr="00DD7A55" w:rsidRDefault="00AF17D0">
      <w:pPr>
        <w:pStyle w:val="FootnoteText"/>
        <w:rPr>
          <w:rFonts w:ascii="Times New Roman" w:hAnsi="Times New Roman"/>
          <w:sz w:val="20"/>
          <w:szCs w:val="20"/>
        </w:rPr>
      </w:pPr>
      <w:r w:rsidRPr="00CD186A">
        <w:rPr>
          <w:rStyle w:val="FootnoteReference"/>
          <w:rFonts w:ascii="Times New Roman" w:hAnsi="Times New Roman"/>
          <w:sz w:val="20"/>
          <w:szCs w:val="20"/>
        </w:rPr>
        <w:footnoteRef/>
      </w:r>
      <w:r w:rsidRPr="00CD186A">
        <w:rPr>
          <w:rFonts w:ascii="Times New Roman" w:hAnsi="Times New Roman"/>
          <w:sz w:val="20"/>
          <w:szCs w:val="20"/>
        </w:rPr>
        <w:t xml:space="preserve"> The maximums and minimums are across all cycles (except for the most recent one) for any given period.</w:t>
      </w:r>
    </w:p>
  </w:footnote>
  <w:footnote w:id="21">
    <w:p w:rsidR="00AF17D0" w:rsidRPr="00A42CFB" w:rsidRDefault="00AF17D0">
      <w:pPr>
        <w:pStyle w:val="FootnoteText"/>
        <w:rPr>
          <w:rFonts w:ascii="Times New Roman" w:hAnsi="Times New Roman"/>
          <w:sz w:val="20"/>
          <w:szCs w:val="20"/>
        </w:rPr>
      </w:pPr>
      <w:r w:rsidRPr="00A3299F">
        <w:rPr>
          <w:rStyle w:val="FootnoteReference"/>
          <w:rFonts w:ascii="Times New Roman" w:hAnsi="Times New Roman"/>
          <w:sz w:val="20"/>
          <w:szCs w:val="20"/>
        </w:rPr>
        <w:footnoteRef/>
      </w:r>
      <w:r w:rsidRPr="00A3299F">
        <w:rPr>
          <w:rFonts w:ascii="Times New Roman" w:hAnsi="Times New Roman"/>
          <w:sz w:val="20"/>
          <w:szCs w:val="20"/>
        </w:rPr>
        <w:t xml:space="preserve"> It may seem surprising that the asset price indicators show no net improvement, given the large increase in equity prices since the spring.  </w:t>
      </w:r>
      <w:r>
        <w:rPr>
          <w:rFonts w:ascii="Times New Roman" w:hAnsi="Times New Roman"/>
          <w:sz w:val="20"/>
          <w:szCs w:val="20"/>
        </w:rPr>
        <w:t>However, note that our asset price indicators generally enter the FCI as (log) changes rather than levels, and the pace of asset price improvement has slowed since the spring.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6127"/>
    <w:multiLevelType w:val="hybridMultilevel"/>
    <w:tmpl w:val="B63E1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740245"/>
    <w:multiLevelType w:val="hybridMultilevel"/>
    <w:tmpl w:val="90B86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AE2D7C"/>
    <w:multiLevelType w:val="hybridMultilevel"/>
    <w:tmpl w:val="5BEA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65618"/>
    <w:multiLevelType w:val="hybridMultilevel"/>
    <w:tmpl w:val="3A72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F1746"/>
    <w:multiLevelType w:val="hybridMultilevel"/>
    <w:tmpl w:val="1320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50EFD"/>
    <w:multiLevelType w:val="hybridMultilevel"/>
    <w:tmpl w:val="3B92A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936DAC"/>
    <w:multiLevelType w:val="hybridMultilevel"/>
    <w:tmpl w:val="7000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60D4A"/>
    <w:multiLevelType w:val="hybridMultilevel"/>
    <w:tmpl w:val="3BD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40951"/>
    <w:multiLevelType w:val="hybridMultilevel"/>
    <w:tmpl w:val="2D744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647D6"/>
    <w:multiLevelType w:val="hybridMultilevel"/>
    <w:tmpl w:val="BF082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A973D7"/>
    <w:multiLevelType w:val="hybridMultilevel"/>
    <w:tmpl w:val="80C0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AF2225"/>
    <w:multiLevelType w:val="multilevel"/>
    <w:tmpl w:val="D80E1A1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0BF5A33"/>
    <w:multiLevelType w:val="hybridMultilevel"/>
    <w:tmpl w:val="199E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971F57"/>
    <w:multiLevelType w:val="hybridMultilevel"/>
    <w:tmpl w:val="06B81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2C73EE"/>
    <w:multiLevelType w:val="hybridMultilevel"/>
    <w:tmpl w:val="7B80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C138A"/>
    <w:multiLevelType w:val="hybridMultilevel"/>
    <w:tmpl w:val="B04A9E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851DD4"/>
    <w:multiLevelType w:val="hybridMultilevel"/>
    <w:tmpl w:val="E6169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D17E2"/>
    <w:multiLevelType w:val="hybridMultilevel"/>
    <w:tmpl w:val="F39E8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4757B0"/>
    <w:multiLevelType w:val="hybridMultilevel"/>
    <w:tmpl w:val="1604E514"/>
    <w:lvl w:ilvl="0" w:tplc="63C85848">
      <w:start w:val="4"/>
      <w:numFmt w:val="bullet"/>
      <w:lvlText w:val=""/>
      <w:lvlJc w:val="left"/>
      <w:pPr>
        <w:ind w:left="180" w:hanging="360"/>
      </w:pPr>
      <w:rPr>
        <w:rFonts w:ascii="Symbol" w:eastAsia="Calibri" w:hAnsi="Symbol"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nsid w:val="527A64E2"/>
    <w:multiLevelType w:val="hybridMultilevel"/>
    <w:tmpl w:val="1FCA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8875F0"/>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57325FFD"/>
    <w:multiLevelType w:val="hybridMultilevel"/>
    <w:tmpl w:val="82EC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B1307F"/>
    <w:multiLevelType w:val="hybridMultilevel"/>
    <w:tmpl w:val="8CA05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DC30D0"/>
    <w:multiLevelType w:val="hybridMultilevel"/>
    <w:tmpl w:val="D6EA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CC60B7"/>
    <w:multiLevelType w:val="hybridMultilevel"/>
    <w:tmpl w:val="8CAE92CA"/>
    <w:lvl w:ilvl="0" w:tplc="81CE477A">
      <w:start w:val="4"/>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64710173"/>
    <w:multiLevelType w:val="hybridMultilevel"/>
    <w:tmpl w:val="925E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773CED"/>
    <w:multiLevelType w:val="hybridMultilevel"/>
    <w:tmpl w:val="891EE642"/>
    <w:lvl w:ilvl="0" w:tplc="1E3AF96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355325"/>
    <w:multiLevelType w:val="hybridMultilevel"/>
    <w:tmpl w:val="E6DC25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71B2B6E"/>
    <w:multiLevelType w:val="hybridMultilevel"/>
    <w:tmpl w:val="2ADA739E"/>
    <w:lvl w:ilvl="0" w:tplc="A9E40116">
      <w:start w:val="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8DD0D0C"/>
    <w:multiLevelType w:val="hybridMultilevel"/>
    <w:tmpl w:val="74C6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A5735D"/>
    <w:multiLevelType w:val="hybridMultilevel"/>
    <w:tmpl w:val="4F668F6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1">
    <w:nsid w:val="7A196E3B"/>
    <w:multiLevelType w:val="hybridMultilevel"/>
    <w:tmpl w:val="564C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3E0C70"/>
    <w:multiLevelType w:val="hybridMultilevel"/>
    <w:tmpl w:val="B2A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2"/>
  </w:num>
  <w:num w:numId="4">
    <w:abstractNumId w:val="7"/>
  </w:num>
  <w:num w:numId="5">
    <w:abstractNumId w:val="29"/>
  </w:num>
  <w:num w:numId="6">
    <w:abstractNumId w:val="10"/>
  </w:num>
  <w:num w:numId="7">
    <w:abstractNumId w:val="30"/>
  </w:num>
  <w:num w:numId="8">
    <w:abstractNumId w:val="25"/>
  </w:num>
  <w:num w:numId="9">
    <w:abstractNumId w:val="12"/>
  </w:num>
  <w:num w:numId="10">
    <w:abstractNumId w:val="31"/>
  </w:num>
  <w:num w:numId="11">
    <w:abstractNumId w:val="16"/>
  </w:num>
  <w:num w:numId="12">
    <w:abstractNumId w:val="14"/>
  </w:num>
  <w:num w:numId="13">
    <w:abstractNumId w:val="4"/>
  </w:num>
  <w:num w:numId="14">
    <w:abstractNumId w:val="23"/>
  </w:num>
  <w:num w:numId="15">
    <w:abstractNumId w:val="1"/>
  </w:num>
  <w:num w:numId="16">
    <w:abstractNumId w:val="22"/>
  </w:num>
  <w:num w:numId="17">
    <w:abstractNumId w:val="15"/>
  </w:num>
  <w:num w:numId="18">
    <w:abstractNumId w:val="27"/>
  </w:num>
  <w:num w:numId="19">
    <w:abstractNumId w:val="13"/>
  </w:num>
  <w:num w:numId="20">
    <w:abstractNumId w:val="2"/>
  </w:num>
  <w:num w:numId="21">
    <w:abstractNumId w:val="0"/>
  </w:num>
  <w:num w:numId="22">
    <w:abstractNumId w:val="3"/>
  </w:num>
  <w:num w:numId="23">
    <w:abstractNumId w:val="6"/>
  </w:num>
  <w:num w:numId="24">
    <w:abstractNumId w:val="20"/>
  </w:num>
  <w:num w:numId="25">
    <w:abstractNumId w:val="8"/>
  </w:num>
  <w:num w:numId="26">
    <w:abstractNumId w:val="17"/>
  </w:num>
  <w:num w:numId="27">
    <w:abstractNumId w:val="19"/>
  </w:num>
  <w:num w:numId="28">
    <w:abstractNumId w:val="21"/>
  </w:num>
  <w:num w:numId="29">
    <w:abstractNumId w:val="11"/>
  </w:num>
  <w:num w:numId="30">
    <w:abstractNumId w:val="18"/>
  </w:num>
  <w:num w:numId="31">
    <w:abstractNumId w:val="24"/>
  </w:num>
  <w:num w:numId="32">
    <w:abstractNumId w:val="26"/>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stylePaneFormatFilter w:val="3701"/>
  <w:doNotTrackMoves/>
  <w:defaultTabStop w:val="720"/>
  <w:drawingGridHorizontalSpacing w:val="120"/>
  <w:drawingGridVerticalSpacing w:val="360"/>
  <w:displayHorizontalDrawingGridEvery w:val="0"/>
  <w:displayVerticalDrawingGridEvery w:val="0"/>
  <w:characterSpacingControl w:val="doNotCompress"/>
  <w:savePreviewPicture/>
  <w:hdrShapeDefaults>
    <o:shapedefaults v:ext="edit" spidmax="17410"/>
  </w:hdrShapeDefaults>
  <w:footnotePr>
    <w:footnote w:id="-1"/>
    <w:footnote w:id="0"/>
  </w:footnotePr>
  <w:endnotePr>
    <w:endnote w:id="-1"/>
    <w:endnote w:id="0"/>
  </w:endnotePr>
  <w:compat/>
  <w:docVars>
    <w:docVar w:name="APWAFVersion" w:val="&lt;"/>
    <w:docVar w:name="FDSMenuDocLevelBtnStates" w:val="&lt;btnStates&gt;&lt;btn tag=&quot;1001&quot; state=&quot;UP&quot;/&gt;&lt;/btnStates&gt;_x000D__x000A_"/>
  </w:docVars>
  <w:rsids>
    <w:rsidRoot w:val="00FB5466"/>
    <w:rsid w:val="000445A2"/>
    <w:rsid w:val="00072189"/>
    <w:rsid w:val="0007361A"/>
    <w:rsid w:val="000B5FCE"/>
    <w:rsid w:val="000C71F2"/>
    <w:rsid w:val="00104146"/>
    <w:rsid w:val="00104888"/>
    <w:rsid w:val="00114293"/>
    <w:rsid w:val="00127D85"/>
    <w:rsid w:val="001515FC"/>
    <w:rsid w:val="001876CF"/>
    <w:rsid w:val="001A3ED3"/>
    <w:rsid w:val="00241953"/>
    <w:rsid w:val="00241979"/>
    <w:rsid w:val="002435FA"/>
    <w:rsid w:val="002730B2"/>
    <w:rsid w:val="00275B2B"/>
    <w:rsid w:val="002B5999"/>
    <w:rsid w:val="00316075"/>
    <w:rsid w:val="00350141"/>
    <w:rsid w:val="0037019C"/>
    <w:rsid w:val="00394D5E"/>
    <w:rsid w:val="003B4AAE"/>
    <w:rsid w:val="003B74FB"/>
    <w:rsid w:val="0046628C"/>
    <w:rsid w:val="004B6E21"/>
    <w:rsid w:val="004F5E75"/>
    <w:rsid w:val="00514EC6"/>
    <w:rsid w:val="00552A2F"/>
    <w:rsid w:val="005B6444"/>
    <w:rsid w:val="005F381F"/>
    <w:rsid w:val="006244F8"/>
    <w:rsid w:val="00691019"/>
    <w:rsid w:val="006A5259"/>
    <w:rsid w:val="006A5864"/>
    <w:rsid w:val="006C676C"/>
    <w:rsid w:val="006F0F7F"/>
    <w:rsid w:val="006F1E1B"/>
    <w:rsid w:val="006F2146"/>
    <w:rsid w:val="007146D5"/>
    <w:rsid w:val="00730796"/>
    <w:rsid w:val="00755F6A"/>
    <w:rsid w:val="00764A36"/>
    <w:rsid w:val="00783992"/>
    <w:rsid w:val="007907F5"/>
    <w:rsid w:val="007D1C4B"/>
    <w:rsid w:val="007E3CAE"/>
    <w:rsid w:val="007E3F44"/>
    <w:rsid w:val="007F1A4B"/>
    <w:rsid w:val="007F1C0D"/>
    <w:rsid w:val="007F784F"/>
    <w:rsid w:val="00802DEA"/>
    <w:rsid w:val="00804AFE"/>
    <w:rsid w:val="008245F8"/>
    <w:rsid w:val="0083275F"/>
    <w:rsid w:val="00841AC3"/>
    <w:rsid w:val="00843243"/>
    <w:rsid w:val="008A5CDD"/>
    <w:rsid w:val="008D05D6"/>
    <w:rsid w:val="00900708"/>
    <w:rsid w:val="0090642B"/>
    <w:rsid w:val="009210F9"/>
    <w:rsid w:val="00930BF6"/>
    <w:rsid w:val="009565F5"/>
    <w:rsid w:val="009576D5"/>
    <w:rsid w:val="00980DC9"/>
    <w:rsid w:val="00984214"/>
    <w:rsid w:val="009C43EB"/>
    <w:rsid w:val="009C7D7D"/>
    <w:rsid w:val="009E1D82"/>
    <w:rsid w:val="009E6C6C"/>
    <w:rsid w:val="009F5676"/>
    <w:rsid w:val="00A13312"/>
    <w:rsid w:val="00A35E6B"/>
    <w:rsid w:val="00A60F52"/>
    <w:rsid w:val="00A63E06"/>
    <w:rsid w:val="00A717AB"/>
    <w:rsid w:val="00AA29E0"/>
    <w:rsid w:val="00AA7B5D"/>
    <w:rsid w:val="00AC4E9B"/>
    <w:rsid w:val="00AF17D0"/>
    <w:rsid w:val="00B052E7"/>
    <w:rsid w:val="00B301E1"/>
    <w:rsid w:val="00B36A8F"/>
    <w:rsid w:val="00B3704C"/>
    <w:rsid w:val="00B77903"/>
    <w:rsid w:val="00BB7BE6"/>
    <w:rsid w:val="00BC0A49"/>
    <w:rsid w:val="00BE7519"/>
    <w:rsid w:val="00C46170"/>
    <w:rsid w:val="00C50DA6"/>
    <w:rsid w:val="00C865F2"/>
    <w:rsid w:val="00C93DE7"/>
    <w:rsid w:val="00CC0F41"/>
    <w:rsid w:val="00CC6223"/>
    <w:rsid w:val="00CD4080"/>
    <w:rsid w:val="00CE4F53"/>
    <w:rsid w:val="00D02EF0"/>
    <w:rsid w:val="00D15C4E"/>
    <w:rsid w:val="00D55687"/>
    <w:rsid w:val="00D6477C"/>
    <w:rsid w:val="00D6507F"/>
    <w:rsid w:val="00D83D54"/>
    <w:rsid w:val="00D8679A"/>
    <w:rsid w:val="00DA169F"/>
    <w:rsid w:val="00DF738F"/>
    <w:rsid w:val="00E37C12"/>
    <w:rsid w:val="00E61C38"/>
    <w:rsid w:val="00E96557"/>
    <w:rsid w:val="00EA1C0A"/>
    <w:rsid w:val="00EB622F"/>
    <w:rsid w:val="00EC1A8B"/>
    <w:rsid w:val="00EE0B4C"/>
    <w:rsid w:val="00F016CC"/>
    <w:rsid w:val="00F223B7"/>
    <w:rsid w:val="00F44485"/>
    <w:rsid w:val="00F57799"/>
    <w:rsid w:val="00F67DBD"/>
    <w:rsid w:val="00F74852"/>
    <w:rsid w:val="00F86D54"/>
    <w:rsid w:val="00F9669B"/>
    <w:rsid w:val="00FB5466"/>
    <w:rsid w:val="00FC3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8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174AE6"/>
    <w:rPr>
      <w:rFonts w:ascii="Tahoma" w:hAnsi="Tahoma" w:cs="Tahoma"/>
      <w:sz w:val="16"/>
      <w:szCs w:val="16"/>
    </w:rPr>
  </w:style>
  <w:style w:type="character" w:customStyle="1" w:styleId="BalloonTextChar">
    <w:name w:val="Balloon Text Char"/>
    <w:basedOn w:val="DefaultParagraphFont"/>
    <w:link w:val="BalloonText"/>
    <w:uiPriority w:val="99"/>
    <w:semiHidden/>
    <w:rsid w:val="00775096"/>
    <w:rPr>
      <w:rFonts w:ascii="Lucida Grande" w:hAnsi="Lucida Grande"/>
      <w:sz w:val="18"/>
      <w:szCs w:val="18"/>
    </w:rPr>
  </w:style>
  <w:style w:type="paragraph" w:styleId="FootnoteText">
    <w:name w:val="footnote text"/>
    <w:basedOn w:val="Normal"/>
    <w:link w:val="FootnoteTextChar"/>
    <w:uiPriority w:val="99"/>
    <w:unhideWhenUsed/>
    <w:rsid w:val="00304A8C"/>
  </w:style>
  <w:style w:type="character" w:customStyle="1" w:styleId="FootnoteTextChar">
    <w:name w:val="Footnote Text Char"/>
    <w:basedOn w:val="DefaultParagraphFont"/>
    <w:link w:val="FootnoteText"/>
    <w:uiPriority w:val="99"/>
    <w:rsid w:val="00304A8C"/>
    <w:rPr>
      <w:sz w:val="24"/>
      <w:szCs w:val="24"/>
    </w:rPr>
  </w:style>
  <w:style w:type="character" w:styleId="FootnoteReference">
    <w:name w:val="footnote reference"/>
    <w:basedOn w:val="DefaultParagraphFont"/>
    <w:uiPriority w:val="99"/>
    <w:semiHidden/>
    <w:unhideWhenUsed/>
    <w:rsid w:val="00304A8C"/>
    <w:rPr>
      <w:vertAlign w:val="superscript"/>
    </w:rPr>
  </w:style>
  <w:style w:type="paragraph" w:styleId="Footer">
    <w:name w:val="footer"/>
    <w:basedOn w:val="Normal"/>
    <w:link w:val="FooterChar"/>
    <w:uiPriority w:val="99"/>
    <w:unhideWhenUsed/>
    <w:rsid w:val="00DA5850"/>
    <w:pPr>
      <w:tabs>
        <w:tab w:val="center" w:pos="4320"/>
        <w:tab w:val="right" w:pos="8640"/>
      </w:tabs>
    </w:pPr>
  </w:style>
  <w:style w:type="character" w:customStyle="1" w:styleId="FooterChar">
    <w:name w:val="Footer Char"/>
    <w:basedOn w:val="DefaultParagraphFont"/>
    <w:link w:val="Footer"/>
    <w:uiPriority w:val="99"/>
    <w:rsid w:val="00DA5850"/>
    <w:rPr>
      <w:sz w:val="24"/>
      <w:szCs w:val="24"/>
    </w:rPr>
  </w:style>
  <w:style w:type="character" w:styleId="PageNumber">
    <w:name w:val="page number"/>
    <w:basedOn w:val="DefaultParagraphFont"/>
    <w:uiPriority w:val="99"/>
    <w:semiHidden/>
    <w:unhideWhenUsed/>
    <w:rsid w:val="00DA5850"/>
  </w:style>
  <w:style w:type="character" w:customStyle="1" w:styleId="CharChar5">
    <w:name w:val="Char Char5"/>
    <w:basedOn w:val="DefaultParagraphFont"/>
    <w:semiHidden/>
    <w:rsid w:val="00D54462"/>
  </w:style>
  <w:style w:type="character" w:styleId="CommentReference">
    <w:name w:val="annotation reference"/>
    <w:basedOn w:val="DefaultParagraphFont"/>
    <w:semiHidden/>
    <w:rsid w:val="00174AE6"/>
    <w:rPr>
      <w:sz w:val="16"/>
      <w:szCs w:val="16"/>
    </w:rPr>
  </w:style>
  <w:style w:type="paragraph" w:styleId="CommentText">
    <w:name w:val="annotation text"/>
    <w:basedOn w:val="Normal"/>
    <w:link w:val="CommentTextChar"/>
    <w:semiHidden/>
    <w:rsid w:val="00174AE6"/>
    <w:rPr>
      <w:sz w:val="20"/>
      <w:szCs w:val="20"/>
    </w:rPr>
  </w:style>
  <w:style w:type="paragraph" w:styleId="CommentSubject">
    <w:name w:val="annotation subject"/>
    <w:basedOn w:val="CommentText"/>
    <w:next w:val="CommentText"/>
    <w:link w:val="CommentSubjectChar"/>
    <w:semiHidden/>
    <w:rsid w:val="00174AE6"/>
    <w:rPr>
      <w:b/>
      <w:bCs/>
    </w:rPr>
  </w:style>
  <w:style w:type="paragraph" w:customStyle="1" w:styleId="ColorfulList-Accent11">
    <w:name w:val="Colorful List - Accent 11"/>
    <w:basedOn w:val="Normal"/>
    <w:uiPriority w:val="34"/>
    <w:qFormat/>
    <w:rsid w:val="00AB0FC3"/>
    <w:pPr>
      <w:spacing w:line="276" w:lineRule="auto"/>
      <w:ind w:left="720"/>
      <w:contextualSpacing/>
    </w:pPr>
    <w:rPr>
      <w:rFonts w:ascii="Times New Roman" w:eastAsia="Calibri" w:hAnsi="Times New Roman"/>
      <w:szCs w:val="22"/>
    </w:rPr>
  </w:style>
  <w:style w:type="character" w:customStyle="1" w:styleId="cmr-8">
    <w:name w:val="cmr-8"/>
    <w:basedOn w:val="DefaultParagraphFont"/>
    <w:rsid w:val="00BC365D"/>
    <w:rPr>
      <w:rFonts w:cs="Times New Roman"/>
    </w:rPr>
  </w:style>
  <w:style w:type="paragraph" w:styleId="PlainText">
    <w:name w:val="Plain Text"/>
    <w:basedOn w:val="Normal"/>
    <w:link w:val="PlainTextChar"/>
    <w:rsid w:val="00BC365D"/>
    <w:rPr>
      <w:rFonts w:ascii="Courier New" w:eastAsia="Times New Roman" w:hAnsi="Courier New"/>
      <w:sz w:val="20"/>
      <w:szCs w:val="20"/>
    </w:rPr>
  </w:style>
  <w:style w:type="character" w:customStyle="1" w:styleId="PlainTextChar">
    <w:name w:val="Plain Text Char"/>
    <w:basedOn w:val="DefaultParagraphFont"/>
    <w:link w:val="PlainText"/>
    <w:rsid w:val="00BC365D"/>
    <w:rPr>
      <w:rFonts w:ascii="Courier New" w:eastAsia="Times New Roman" w:hAnsi="Courier New"/>
    </w:rPr>
  </w:style>
  <w:style w:type="character" w:styleId="Emphasis">
    <w:name w:val="Emphasis"/>
    <w:basedOn w:val="DefaultParagraphFont"/>
    <w:qFormat/>
    <w:rsid w:val="00BC365D"/>
    <w:rPr>
      <w:rFonts w:cs="Times New Roman"/>
      <w:i/>
      <w:iCs/>
    </w:rPr>
  </w:style>
  <w:style w:type="character" w:styleId="Strong">
    <w:name w:val="Strong"/>
    <w:basedOn w:val="DefaultParagraphFont"/>
    <w:uiPriority w:val="22"/>
    <w:qFormat/>
    <w:rsid w:val="00BC365D"/>
    <w:rPr>
      <w:rFonts w:cs="Times New Roman"/>
      <w:b/>
      <w:bCs/>
    </w:rPr>
  </w:style>
  <w:style w:type="table" w:styleId="TableGrid">
    <w:name w:val="Table Grid"/>
    <w:basedOn w:val="TableNormal"/>
    <w:uiPriority w:val="59"/>
    <w:rsid w:val="00C6443D"/>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C6443D"/>
    <w:rPr>
      <w:rFonts w:ascii="Tahoma" w:hAnsi="Tahoma" w:cs="Tahoma"/>
      <w:sz w:val="16"/>
      <w:szCs w:val="16"/>
    </w:rPr>
  </w:style>
  <w:style w:type="paragraph" w:styleId="Header">
    <w:name w:val="header"/>
    <w:basedOn w:val="Normal"/>
    <w:link w:val="HeaderChar"/>
    <w:uiPriority w:val="99"/>
    <w:semiHidden/>
    <w:unhideWhenUsed/>
    <w:rsid w:val="00C6443D"/>
    <w:pPr>
      <w:tabs>
        <w:tab w:val="center" w:pos="4680"/>
        <w:tab w:val="right" w:pos="9360"/>
      </w:tabs>
      <w:spacing w:line="276" w:lineRule="auto"/>
    </w:pPr>
    <w:rPr>
      <w:rFonts w:ascii="Times New Roman" w:eastAsia="Calibri" w:hAnsi="Times New Roman"/>
      <w:szCs w:val="22"/>
    </w:rPr>
  </w:style>
  <w:style w:type="character" w:customStyle="1" w:styleId="HeaderChar">
    <w:name w:val="Header Char"/>
    <w:basedOn w:val="DefaultParagraphFont"/>
    <w:link w:val="Header"/>
    <w:uiPriority w:val="99"/>
    <w:semiHidden/>
    <w:rsid w:val="00C6443D"/>
    <w:rPr>
      <w:rFonts w:ascii="Times New Roman" w:eastAsia="Calibri" w:hAnsi="Times New Roman"/>
      <w:sz w:val="24"/>
      <w:szCs w:val="22"/>
    </w:rPr>
  </w:style>
  <w:style w:type="paragraph" w:customStyle="1" w:styleId="ColorfulList-Accent12">
    <w:name w:val="Colorful List - Accent 12"/>
    <w:basedOn w:val="Normal"/>
    <w:uiPriority w:val="34"/>
    <w:qFormat/>
    <w:rsid w:val="00C6443D"/>
    <w:pPr>
      <w:spacing w:line="276" w:lineRule="auto"/>
      <w:ind w:left="720"/>
      <w:contextualSpacing/>
    </w:pPr>
    <w:rPr>
      <w:rFonts w:ascii="Times New Roman" w:eastAsia="Calibri" w:hAnsi="Times New Roman"/>
      <w:szCs w:val="22"/>
    </w:rPr>
  </w:style>
  <w:style w:type="paragraph" w:customStyle="1" w:styleId="ColorfulList-Accent13">
    <w:name w:val="Colorful List - Accent 13"/>
    <w:basedOn w:val="Normal"/>
    <w:uiPriority w:val="34"/>
    <w:qFormat/>
    <w:rsid w:val="00D929DA"/>
    <w:pPr>
      <w:spacing w:line="276" w:lineRule="auto"/>
      <w:ind w:left="720"/>
      <w:contextualSpacing/>
    </w:pPr>
    <w:rPr>
      <w:rFonts w:ascii="Times New Roman" w:eastAsia="Calibri" w:hAnsi="Times New Roman"/>
      <w:szCs w:val="22"/>
    </w:rPr>
  </w:style>
  <w:style w:type="paragraph" w:styleId="NormalWeb">
    <w:name w:val="Normal (Web)"/>
    <w:basedOn w:val="Normal"/>
    <w:uiPriority w:val="99"/>
    <w:semiHidden/>
    <w:unhideWhenUsed/>
    <w:rsid w:val="008D286D"/>
    <w:pPr>
      <w:spacing w:before="100" w:beforeAutospacing="1" w:after="100" w:afterAutospacing="1"/>
    </w:pPr>
    <w:rPr>
      <w:rFonts w:ascii="Times New Roman" w:eastAsia="Calibri" w:hAnsi="Times New Roman"/>
    </w:rPr>
  </w:style>
  <w:style w:type="character" w:customStyle="1" w:styleId="CommentTextChar">
    <w:name w:val="Comment Text Char"/>
    <w:basedOn w:val="DefaultParagraphFont"/>
    <w:link w:val="CommentText"/>
    <w:semiHidden/>
    <w:rsid w:val="00396ECE"/>
  </w:style>
  <w:style w:type="character" w:customStyle="1" w:styleId="CommentSubjectChar">
    <w:name w:val="Comment Subject Char"/>
    <w:basedOn w:val="CommentTextChar"/>
    <w:link w:val="CommentSubject"/>
    <w:semiHidden/>
    <w:rsid w:val="00396ECE"/>
    <w:rPr>
      <w:b/>
      <w:bCs/>
    </w:rPr>
  </w:style>
  <w:style w:type="character" w:styleId="FollowedHyperlink">
    <w:name w:val="FollowedHyperlink"/>
    <w:basedOn w:val="DefaultParagraphFont"/>
    <w:uiPriority w:val="99"/>
    <w:semiHidden/>
    <w:unhideWhenUsed/>
    <w:rsid w:val="0026635F"/>
    <w:rPr>
      <w:color w:val="800080"/>
      <w:u w:val="single"/>
    </w:rPr>
  </w:style>
</w:styles>
</file>

<file path=word/webSettings.xml><?xml version="1.0" encoding="utf-8"?>
<w:webSettings xmlns:r="http://schemas.openxmlformats.org/officeDocument/2006/relationships" xmlns:w="http://schemas.openxmlformats.org/wordprocessingml/2006/main">
  <w:divs>
    <w:div w:id="99953679">
      <w:bodyDiv w:val="1"/>
      <w:marLeft w:val="0"/>
      <w:marRight w:val="0"/>
      <w:marTop w:val="0"/>
      <w:marBottom w:val="0"/>
      <w:divBdr>
        <w:top w:val="none" w:sz="0" w:space="0" w:color="auto"/>
        <w:left w:val="none" w:sz="0" w:space="0" w:color="auto"/>
        <w:bottom w:val="none" w:sz="0" w:space="0" w:color="auto"/>
        <w:right w:val="none" w:sz="0" w:space="0" w:color="auto"/>
      </w:divBdr>
    </w:div>
    <w:div w:id="824853047">
      <w:bodyDiv w:val="1"/>
      <w:marLeft w:val="0"/>
      <w:marRight w:val="0"/>
      <w:marTop w:val="0"/>
      <w:marBottom w:val="0"/>
      <w:divBdr>
        <w:top w:val="none" w:sz="0" w:space="0" w:color="auto"/>
        <w:left w:val="none" w:sz="0" w:space="0" w:color="auto"/>
        <w:bottom w:val="none" w:sz="0" w:space="0" w:color="auto"/>
        <w:right w:val="none" w:sz="0" w:space="0" w:color="auto"/>
      </w:divBdr>
    </w:div>
    <w:div w:id="2017732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2.bin"/><Relationship Id="rId39" Type="http://schemas.openxmlformats.org/officeDocument/2006/relationships/image" Target="media/image12.emf"/><Relationship Id="rId21" Type="http://schemas.openxmlformats.org/officeDocument/2006/relationships/oleObject" Target="embeddings/oleObject8.bin"/><Relationship Id="rId34" Type="http://schemas.openxmlformats.org/officeDocument/2006/relationships/footer" Target="footer4.xml"/><Relationship Id="rId42" Type="http://schemas.openxmlformats.org/officeDocument/2006/relationships/image" Target="media/image15.emf"/><Relationship Id="rId47" Type="http://schemas.openxmlformats.org/officeDocument/2006/relationships/image" Target="media/image20.emf"/><Relationship Id="rId50" Type="http://schemas.openxmlformats.org/officeDocument/2006/relationships/image" Target="media/image23.emf"/><Relationship Id="rId55"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chart" Target="charts/chart1.xml"/><Relationship Id="rId46"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5.bin"/><Relationship Id="rId41" Type="http://schemas.openxmlformats.org/officeDocument/2006/relationships/image" Target="media/image14.emf"/><Relationship Id="rId54" Type="http://schemas.openxmlformats.org/officeDocument/2006/relationships/image" Target="media/image2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9.wmf"/><Relationship Id="rId37" Type="http://schemas.openxmlformats.org/officeDocument/2006/relationships/image" Target="media/image11.emf"/><Relationship Id="rId40" Type="http://schemas.openxmlformats.org/officeDocument/2006/relationships/image" Target="media/image13.emf"/><Relationship Id="rId45" Type="http://schemas.openxmlformats.org/officeDocument/2006/relationships/image" Target="media/image18.emf"/><Relationship Id="rId53"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image" Target="media/image10.emf"/><Relationship Id="rId49" Type="http://schemas.openxmlformats.org/officeDocument/2006/relationships/image" Target="media/image22.emf"/><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footer" Target="footer3.xml"/><Relationship Id="rId44" Type="http://schemas.openxmlformats.org/officeDocument/2006/relationships/image" Target="media/image17.emf"/><Relationship Id="rId52"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footer" Target="footer5.xml"/><Relationship Id="rId43" Type="http://schemas.openxmlformats.org/officeDocument/2006/relationships/image" Target="media/image16.emf"/><Relationship Id="rId48" Type="http://schemas.openxmlformats.org/officeDocument/2006/relationships/image" Target="media/image21.emf"/><Relationship Id="rId56"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image" Target="media/image24.emf"/><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6.wmf"/></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phooper\Local%20Settings\Temp\notes768713\~48043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9400665926748191"/>
          <c:y val="1.9575856443719453E-2"/>
          <c:w val="0.58823529411764586"/>
          <c:h val="0.91517128874388265"/>
        </c:manualLayout>
      </c:layout>
      <c:barChart>
        <c:barDir val="bar"/>
        <c:grouping val="clustered"/>
        <c:ser>
          <c:idx val="0"/>
          <c:order val="0"/>
          <c:spPr>
            <a:solidFill>
              <a:srgbClr val="C0C0C0"/>
            </a:solidFill>
            <a:ln w="25400">
              <a:noFill/>
            </a:ln>
          </c:spPr>
          <c:cat>
            <c:strRef>
              <c:f>Data1!$K$5:$K$49</c:f>
              <c:strCache>
                <c:ptCount val="45"/>
                <c:pt idx="0">
                  <c:v>14. Citigroup Bond Yields:Credit {Corp} Spread (-0.65)</c:v>
                </c:pt>
                <c:pt idx="1">
                  <c:v>45. Monthly Average VIX  (-0.64)</c:v>
                </c:pt>
                <c:pt idx="2">
                  <c:v>10. TED Spread (Constant Maturity T-bill) (-0.61)</c:v>
                </c:pt>
                <c:pt idx="3">
                  <c:v>44. Idiosyncratic Bank Stock Volatility (-0.53)</c:v>
                </c:pt>
                <c:pt idx="4">
                  <c:v>41. FRB: Banks Tight. C&amp;I Loans to Small Firms (-0.48)</c:v>
                </c:pt>
                <c:pt idx="5">
                  <c:v>40. FRB: Banks Tight. C&amp;I Loans to Large Firms (-0.45)</c:v>
                </c:pt>
                <c:pt idx="6">
                  <c:v>9. Jumbo/30yr Conventional Spread (-0.44)</c:v>
                </c:pt>
                <c:pt idx="7">
                  <c:v>2. FedFunds/3monthTBill Spread (-0.43)</c:v>
                </c:pt>
                <c:pt idx="8">
                  <c:v>1. 10-Yr Treas Note Yld at Constant Maturity (-0.36)</c:v>
                </c:pt>
                <c:pt idx="9">
                  <c:v>39. U. Mich: Buying Conds. Autos (-0.36)</c:v>
                </c:pt>
                <c:pt idx="10">
                  <c:v>11. 3-m LIBOR/OIS (-0.35)</c:v>
                </c:pt>
                <c:pt idx="11">
                  <c:v>38. U. Mich: Buying Conditions Houses (-0.35)</c:v>
                </c:pt>
                <c:pt idx="12">
                  <c:v>37. U. Mich: Buying Conditions Large HH Goods (-0.29)</c:v>
                </c:pt>
                <c:pt idx="13">
                  <c:v>16. Real Broad TW Exchange Value of the US$ (-0.24)</c:v>
                </c:pt>
                <c:pt idx="14">
                  <c:v>8. 30-yr Conv. mtg/ 10-yrTBond Spread (-0.23)</c:v>
                </c:pt>
                <c:pt idx="15">
                  <c:v>36. NFIB: %Reporting Credit Harder to Get(-0.22)</c:v>
                </c:pt>
                <c:pt idx="16">
                  <c:v>20. Price of Oil  (PPI Crude Oil) (-0.18)</c:v>
                </c:pt>
                <c:pt idx="17">
                  <c:v>6. High Yld / Baa Spread (-0.17)</c:v>
                </c:pt>
                <c:pt idx="18">
                  <c:v>22. Comm. Paper Outst: All Issuers (-0.17)</c:v>
                </c:pt>
                <c:pt idx="19">
                  <c:v>23. Comm. Paper Issuance  (-0.14)</c:v>
                </c:pt>
                <c:pt idx="20">
                  <c:v>15. Banks CDS Spread (-0.1)</c:v>
                </c:pt>
                <c:pt idx="21">
                  <c:v>5. Baa/10yr T-note Spread (-0.06)</c:v>
                </c:pt>
                <c:pt idx="22">
                  <c:v>21. Bank Credit: All Commercial Banks (0.02)</c:v>
                </c:pt>
                <c:pt idx="23">
                  <c:v>29. Private Nonfinancial Debt (0.02)</c:v>
                </c:pt>
                <c:pt idx="24">
                  <c:v>28. Nonfed Sectors: Credit Market Debt Outst. (0.06)</c:v>
                </c:pt>
                <c:pt idx="25">
                  <c:v>26. Money Stock: MZM (0.21)</c:v>
                </c:pt>
                <c:pt idx="26">
                  <c:v>27. S&amp;L Govt: Liability: Credit Market Instruments (0.21)</c:v>
                </c:pt>
                <c:pt idx="27">
                  <c:v>13. Bank Rate on Personal Loans, Treas Spread (0.22)</c:v>
                </c:pt>
                <c:pt idx="28">
                  <c:v>43. Correl of Returns on Equities and Treas (0.23)</c:v>
                </c:pt>
                <c:pt idx="29">
                  <c:v>35. Broker Dealer Leverage (0.24)</c:v>
                </c:pt>
                <c:pt idx="30">
                  <c:v>3. 2Yr T-note/3m Tbill Spread (0.25)</c:v>
                </c:pt>
                <c:pt idx="31">
                  <c:v>31. ABS Issuers: Assets; Cons. Credit (0.3)</c:v>
                </c:pt>
                <c:pt idx="32">
                  <c:v>33. ABS Issuers: Asset; Comm. Mtgs. (0.34)</c:v>
                </c:pt>
                <c:pt idx="33">
                  <c:v>30. Total Finance:Liabilities:Security RPs (0.36)</c:v>
                </c:pt>
                <c:pt idx="34">
                  <c:v>12. Bank Rate: New Car Loans, Treas Spread (0.37)</c:v>
                </c:pt>
                <c:pt idx="35">
                  <c:v>4. 10-YrT-note/3monthTbill Spread (0.38)</c:v>
                </c:pt>
                <c:pt idx="36">
                  <c:v>18. Financial Market Cap (percent of S&amp;P 500) (0.38)</c:v>
                </c:pt>
                <c:pt idx="37">
                  <c:v>19. Loan Performance National House Price Index (0.43)</c:v>
                </c:pt>
                <c:pt idx="38">
                  <c:v>7. Auto fin company loan rate, new Car Treas Spread (0.46)</c:v>
                </c:pt>
                <c:pt idx="39">
                  <c:v>17. Wilshire 5000 (0.48)</c:v>
                </c:pt>
                <c:pt idx="40">
                  <c:v>25. CMBS Issuance (Alert Database)  (0.51)</c:v>
                </c:pt>
                <c:pt idx="41">
                  <c:v>42. FRB: Banks Willingness to Lend to Cons. (0.58)</c:v>
                </c:pt>
                <c:pt idx="42">
                  <c:v>32. ABS Issuers:Asset: Home Mtgs. (0.62)</c:v>
                </c:pt>
                <c:pt idx="43">
                  <c:v>24. ABS Issuance (0.68)</c:v>
                </c:pt>
                <c:pt idx="44">
                  <c:v>34. Total Non-mortgage ABS Issuance (0.78)</c:v>
                </c:pt>
              </c:strCache>
            </c:strRef>
          </c:cat>
          <c:val>
            <c:numRef>
              <c:f>Data1!$L$5:$L$49</c:f>
              <c:numCache>
                <c:formatCode>General</c:formatCode>
                <c:ptCount val="45"/>
                <c:pt idx="0">
                  <c:v>-0.65000000000000113</c:v>
                </c:pt>
                <c:pt idx="1">
                  <c:v>-0.64000000000000101</c:v>
                </c:pt>
                <c:pt idx="2">
                  <c:v>-0.61000000000000065</c:v>
                </c:pt>
                <c:pt idx="3">
                  <c:v>-0.53</c:v>
                </c:pt>
                <c:pt idx="4">
                  <c:v>-0.48000000000000032</c:v>
                </c:pt>
                <c:pt idx="5">
                  <c:v>-0.45</c:v>
                </c:pt>
                <c:pt idx="6">
                  <c:v>-0.44000000000000011</c:v>
                </c:pt>
                <c:pt idx="7">
                  <c:v>-0.43000000000000038</c:v>
                </c:pt>
                <c:pt idx="8">
                  <c:v>-0.36000000000000032</c:v>
                </c:pt>
                <c:pt idx="9">
                  <c:v>-0.36000000000000032</c:v>
                </c:pt>
                <c:pt idx="10">
                  <c:v>-0.35000000000000031</c:v>
                </c:pt>
                <c:pt idx="11">
                  <c:v>-0.35000000000000031</c:v>
                </c:pt>
                <c:pt idx="12">
                  <c:v>-0.29000000000000031</c:v>
                </c:pt>
                <c:pt idx="13">
                  <c:v>-0.24000000000000021</c:v>
                </c:pt>
                <c:pt idx="14">
                  <c:v>-0.23</c:v>
                </c:pt>
                <c:pt idx="15">
                  <c:v>-0.22000000000000006</c:v>
                </c:pt>
                <c:pt idx="16">
                  <c:v>-0.18000000000000022</c:v>
                </c:pt>
                <c:pt idx="17">
                  <c:v>-0.17</c:v>
                </c:pt>
                <c:pt idx="18">
                  <c:v>-0.17</c:v>
                </c:pt>
                <c:pt idx="19">
                  <c:v>-0.14000000000000001</c:v>
                </c:pt>
                <c:pt idx="20">
                  <c:v>-0.1</c:v>
                </c:pt>
                <c:pt idx="21">
                  <c:v>-6.0000000000000032E-2</c:v>
                </c:pt>
                <c:pt idx="22">
                  <c:v>2.0000000000000014E-2</c:v>
                </c:pt>
                <c:pt idx="23">
                  <c:v>2.0000000000000014E-2</c:v>
                </c:pt>
                <c:pt idx="24">
                  <c:v>6.0000000000000032E-2</c:v>
                </c:pt>
                <c:pt idx="25">
                  <c:v>0.21000000000000021</c:v>
                </c:pt>
                <c:pt idx="26">
                  <c:v>0.21000000000000021</c:v>
                </c:pt>
                <c:pt idx="27">
                  <c:v>0.22000000000000006</c:v>
                </c:pt>
                <c:pt idx="28">
                  <c:v>0.23</c:v>
                </c:pt>
                <c:pt idx="29">
                  <c:v>0.24000000000000021</c:v>
                </c:pt>
                <c:pt idx="30">
                  <c:v>0.25</c:v>
                </c:pt>
                <c:pt idx="31">
                  <c:v>0.30000000000000032</c:v>
                </c:pt>
                <c:pt idx="32">
                  <c:v>0.3400000000000003</c:v>
                </c:pt>
                <c:pt idx="33">
                  <c:v>0.36000000000000032</c:v>
                </c:pt>
                <c:pt idx="34">
                  <c:v>0.37000000000000038</c:v>
                </c:pt>
                <c:pt idx="35">
                  <c:v>0.3800000000000005</c:v>
                </c:pt>
                <c:pt idx="36">
                  <c:v>0.3800000000000005</c:v>
                </c:pt>
                <c:pt idx="37">
                  <c:v>0.43000000000000038</c:v>
                </c:pt>
                <c:pt idx="38">
                  <c:v>0.46</c:v>
                </c:pt>
                <c:pt idx="39">
                  <c:v>0.48000000000000032</c:v>
                </c:pt>
                <c:pt idx="40">
                  <c:v>0.51</c:v>
                </c:pt>
                <c:pt idx="41">
                  <c:v>0.58000000000000018</c:v>
                </c:pt>
                <c:pt idx="42">
                  <c:v>0.62000000000000088</c:v>
                </c:pt>
                <c:pt idx="43">
                  <c:v>0.6800000000000006</c:v>
                </c:pt>
                <c:pt idx="44">
                  <c:v>0.78</c:v>
                </c:pt>
              </c:numCache>
            </c:numRef>
          </c:val>
        </c:ser>
        <c:gapWidth val="100"/>
        <c:axId val="156537984"/>
        <c:axId val="156539520"/>
      </c:barChart>
      <c:catAx>
        <c:axId val="156537984"/>
        <c:scaling>
          <c:orientation val="minMax"/>
        </c:scaling>
        <c:axPos val="l"/>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56539520"/>
        <c:crossesAt val="0"/>
        <c:auto val="1"/>
        <c:lblAlgn val="ctr"/>
        <c:lblOffset val="100"/>
        <c:tickLblSkip val="1"/>
        <c:tickMarkSkip val="1"/>
      </c:catAx>
      <c:valAx>
        <c:axId val="156539520"/>
        <c:scaling>
          <c:orientation val="minMax"/>
          <c:max val="1"/>
          <c:min val="-1"/>
        </c:scaling>
        <c:axPos val="b"/>
        <c:title>
          <c:tx>
            <c:rich>
              <a:bodyPr/>
              <a:lstStyle/>
              <a:p>
                <a:pPr>
                  <a:defRPr sz="1000" b="0" i="0" u="none" strike="noStrike" baseline="0">
                    <a:solidFill>
                      <a:srgbClr val="000000"/>
                    </a:solidFill>
                    <a:latin typeface="Arial"/>
                    <a:ea typeface="Arial"/>
                    <a:cs typeface="Arial"/>
                  </a:defRPr>
                </a:pPr>
                <a:r>
                  <a:rPr lang="en-US"/>
                  <a:t>L1</a:t>
                </a:r>
              </a:p>
            </c:rich>
          </c:tx>
          <c:layout>
            <c:manualLayout>
              <c:xMode val="edge"/>
              <c:yMode val="edge"/>
              <c:x val="0.97447280799112079"/>
              <c:y val="0.96247960848287295"/>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56537984"/>
        <c:crosses val="autoZero"/>
        <c:crossBetween val="between"/>
        <c:majorUnit val="0.25"/>
      </c:valAx>
      <c:spPr>
        <a:noFill/>
        <a:ln w="25400">
          <a:noFill/>
        </a:ln>
      </c:spPr>
    </c:plotArea>
    <c:plotVisOnly val="1"/>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58</Pages>
  <Words>16300</Words>
  <Characters>92916</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Financial Conditions Indexes: Conceptual Background</vt:lpstr>
    </vt:vector>
  </TitlesOfParts>
  <Company>Goldman Sachs</Company>
  <LinksUpToDate>false</LinksUpToDate>
  <CharactersWithSpaces>108999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Conditions Indexes: Conceptual Background</dc:title>
  <dc:subject/>
  <dc:creator>Kermit Schoenholtz</dc:creator>
  <cp:keywords/>
  <cp:lastModifiedBy>Princeton Affiliate</cp:lastModifiedBy>
  <cp:revision>27</cp:revision>
  <cp:lastPrinted>2010-04-13T20:12:00Z</cp:lastPrinted>
  <dcterms:created xsi:type="dcterms:W3CDTF">2010-04-13T19:31:00Z</dcterms:created>
  <dcterms:modified xsi:type="dcterms:W3CDTF">2010-04-13T20:17:00Z</dcterms:modified>
</cp:coreProperties>
</file>