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ADA1F" w14:textId="77777777" w:rsidR="00C62443" w:rsidRDefault="00C62443">
      <w:pPr>
        <w:pStyle w:val="BodyTextIndent"/>
        <w:spacing w:line="480" w:lineRule="auto"/>
        <w:jc w:val="center"/>
        <w:outlineLvl w:val="9"/>
        <w:rPr>
          <w:bCs/>
          <w:caps w:val="0"/>
          <w:sz w:val="24"/>
        </w:rPr>
      </w:pPr>
      <w:r>
        <w:rPr>
          <w:bCs/>
          <w:caps w:val="0"/>
          <w:sz w:val="24"/>
        </w:rPr>
        <w:t xml:space="preserve">Documentation for </w:t>
      </w:r>
      <w:proofErr w:type="spellStart"/>
      <w:r w:rsidR="00E75CBB">
        <w:rPr>
          <w:bCs/>
          <w:caps w:val="0"/>
          <w:sz w:val="24"/>
        </w:rPr>
        <w:t>TeachingRatings</w:t>
      </w:r>
      <w:proofErr w:type="spellEnd"/>
      <w:r>
        <w:rPr>
          <w:bCs/>
          <w:caps w:val="0"/>
          <w:sz w:val="24"/>
        </w:rPr>
        <w:t xml:space="preserve"> Data</w:t>
      </w:r>
    </w:p>
    <w:p w14:paraId="272EB41A" w14:textId="77777777" w:rsidR="00235B4F" w:rsidRPr="00246447" w:rsidRDefault="00240332" w:rsidP="00240332">
      <w:pPr>
        <w:pStyle w:val="PlainText"/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246447">
        <w:rPr>
          <w:rFonts w:ascii="Times New Roman" w:hAnsi="Times New Roman"/>
          <w:b/>
          <w:bCs/>
          <w:sz w:val="24"/>
          <w:szCs w:val="24"/>
        </w:rPr>
        <w:t>TeachingRatings</w:t>
      </w:r>
      <w:proofErr w:type="spellEnd"/>
      <w:r w:rsidRPr="00246447">
        <w:rPr>
          <w:rFonts w:ascii="Times New Roman" w:hAnsi="Times New Roman"/>
          <w:bCs/>
          <w:sz w:val="24"/>
          <w:szCs w:val="24"/>
        </w:rPr>
        <w:t xml:space="preserve"> </w:t>
      </w:r>
      <w:r w:rsidRPr="00246447">
        <w:rPr>
          <w:rFonts w:ascii="Times New Roman" w:hAnsi="Times New Roman"/>
          <w:sz w:val="24"/>
          <w:szCs w:val="24"/>
        </w:rPr>
        <w:t xml:space="preserve">contains data on course evaluations, course characteristics, and professor characteristics for 463 courses </w:t>
      </w:r>
      <w:r w:rsidR="00246447" w:rsidRPr="00246447">
        <w:rPr>
          <w:rFonts w:ascii="Times New Roman" w:hAnsi="Times New Roman"/>
          <w:sz w:val="24"/>
          <w:szCs w:val="24"/>
        </w:rPr>
        <w:t xml:space="preserve">for the academic years 2000-2002 </w:t>
      </w:r>
      <w:r w:rsidRPr="00246447">
        <w:rPr>
          <w:rFonts w:ascii="Times New Roman" w:hAnsi="Times New Roman"/>
          <w:sz w:val="24"/>
          <w:szCs w:val="24"/>
        </w:rPr>
        <w:t>at the University of Texas at Austin.</w:t>
      </w:r>
      <w:r w:rsidR="00246447" w:rsidRPr="00246447">
        <w:rPr>
          <w:rFonts w:ascii="Times New Roman" w:hAnsi="Times New Roman"/>
          <w:sz w:val="24"/>
          <w:szCs w:val="24"/>
        </w:rPr>
        <w:t xml:space="preserve"> These data were provided by Professor Daniel </w:t>
      </w:r>
      <w:proofErr w:type="spellStart"/>
      <w:r w:rsidR="00246447" w:rsidRPr="00246447">
        <w:rPr>
          <w:rFonts w:ascii="Times New Roman" w:hAnsi="Times New Roman"/>
          <w:sz w:val="24"/>
          <w:szCs w:val="24"/>
        </w:rPr>
        <w:t>Hamermesh</w:t>
      </w:r>
      <w:proofErr w:type="spellEnd"/>
      <w:r w:rsidR="00246447" w:rsidRPr="00246447">
        <w:rPr>
          <w:rFonts w:ascii="Times New Roman" w:hAnsi="Times New Roman"/>
          <w:sz w:val="24"/>
          <w:szCs w:val="24"/>
        </w:rPr>
        <w:t xml:space="preserve"> of the University of Texas at Austin and were used in his paper with Amy Parker,  “Beauty in the Classroom: Instructors’ Pulchritude and Putative Pedagogical Productivity,” </w:t>
      </w:r>
      <w:r w:rsidR="00246447" w:rsidRPr="00246447">
        <w:rPr>
          <w:rFonts w:ascii="Times New Roman" w:hAnsi="Times New Roman"/>
          <w:i/>
          <w:sz w:val="24"/>
          <w:szCs w:val="24"/>
        </w:rPr>
        <w:t>Economics of Education Review</w:t>
      </w:r>
      <w:r w:rsidR="00246447" w:rsidRPr="00246447">
        <w:rPr>
          <w:rFonts w:ascii="Times New Roman" w:hAnsi="Times New Roman"/>
          <w:sz w:val="24"/>
          <w:szCs w:val="24"/>
        </w:rPr>
        <w:t>, August 2005, Vol. 24, No. 4, pp. 369-376.</w:t>
      </w:r>
      <w:r w:rsidRPr="00246447">
        <w:rPr>
          <w:rFonts w:ascii="Times New Roman" w:hAnsi="Times New Roman"/>
          <w:sz w:val="24"/>
          <w:szCs w:val="24"/>
        </w:rPr>
        <w:t xml:space="preserve">  </w:t>
      </w:r>
    </w:p>
    <w:p w14:paraId="45BFFEF2" w14:textId="77777777" w:rsidR="00246447" w:rsidRDefault="00246447" w:rsidP="00A64087">
      <w:pPr>
        <w:jc w:val="center"/>
        <w:rPr>
          <w:b/>
          <w:bCs/>
        </w:rPr>
      </w:pPr>
    </w:p>
    <w:p w14:paraId="71A457E9" w14:textId="77777777" w:rsidR="00A64087" w:rsidRPr="00662498" w:rsidRDefault="00A64087" w:rsidP="00A64087">
      <w:pPr>
        <w:jc w:val="center"/>
        <w:rPr>
          <w:b/>
          <w:bCs/>
        </w:rPr>
      </w:pPr>
      <w:r w:rsidRPr="00662498">
        <w:rPr>
          <w:b/>
          <w:bCs/>
        </w:rPr>
        <w:t>Variable Definitions</w:t>
      </w:r>
    </w:p>
    <w:p w14:paraId="48CD8938" w14:textId="77777777" w:rsidR="00A64087" w:rsidRPr="00662498" w:rsidRDefault="00A64087" w:rsidP="00A64087">
      <w:pPr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Ind w:w="-631" w:type="dxa"/>
        <w:tblLook w:val="01E0" w:firstRow="1" w:lastRow="1" w:firstColumn="1" w:lastColumn="1" w:noHBand="0" w:noVBand="0"/>
      </w:tblPr>
      <w:tblGrid>
        <w:gridCol w:w="1430"/>
        <w:gridCol w:w="8236"/>
      </w:tblGrid>
      <w:tr w:rsidR="00A64087" w14:paraId="650779F6" w14:textId="77777777">
        <w:trPr>
          <w:jc w:val="center"/>
        </w:trPr>
        <w:tc>
          <w:tcPr>
            <w:tcW w:w="1110" w:type="dxa"/>
          </w:tcPr>
          <w:p w14:paraId="101601B0" w14:textId="77777777" w:rsidR="00A64087" w:rsidRPr="00391CB3" w:rsidRDefault="00A64087" w:rsidP="00271C7F">
            <w:pPr>
              <w:jc w:val="center"/>
              <w:rPr>
                <w:b/>
                <w:bCs/>
              </w:rPr>
            </w:pPr>
            <w:r w:rsidRPr="00391CB3">
              <w:rPr>
                <w:b/>
                <w:bCs/>
              </w:rPr>
              <w:t>Variable</w:t>
            </w:r>
          </w:p>
        </w:tc>
        <w:tc>
          <w:tcPr>
            <w:tcW w:w="8236" w:type="dxa"/>
          </w:tcPr>
          <w:p w14:paraId="374B7655" w14:textId="77777777" w:rsidR="00A64087" w:rsidRPr="00391CB3" w:rsidRDefault="00A64087" w:rsidP="00271C7F">
            <w:pPr>
              <w:jc w:val="center"/>
              <w:rPr>
                <w:b/>
                <w:bCs/>
              </w:rPr>
            </w:pPr>
            <w:r w:rsidRPr="00391CB3">
              <w:rPr>
                <w:b/>
                <w:bCs/>
              </w:rPr>
              <w:t>Definition</w:t>
            </w:r>
          </w:p>
        </w:tc>
      </w:tr>
      <w:tr w:rsidR="00A64087" w:rsidRPr="007A45E5" w14:paraId="5D083176" w14:textId="77777777">
        <w:trPr>
          <w:jc w:val="center"/>
        </w:trPr>
        <w:tc>
          <w:tcPr>
            <w:tcW w:w="1110" w:type="dxa"/>
          </w:tcPr>
          <w:p w14:paraId="6ADEBF76" w14:textId="77777777" w:rsidR="00A64087" w:rsidRDefault="00A64087" w:rsidP="00271C7F">
            <w:pPr>
              <w:jc w:val="center"/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Course</w:t>
            </w:r>
            <w:r w:rsidR="00483A7B">
              <w:rPr>
                <w:bCs/>
                <w:i/>
              </w:rPr>
              <w:t>_eval</w:t>
            </w:r>
            <w:proofErr w:type="spellEnd"/>
            <w:r w:rsidR="00483A7B">
              <w:rPr>
                <w:bCs/>
                <w:i/>
              </w:rPr>
              <w:t xml:space="preserve"> </w:t>
            </w:r>
          </w:p>
        </w:tc>
        <w:tc>
          <w:tcPr>
            <w:tcW w:w="8236" w:type="dxa"/>
          </w:tcPr>
          <w:p w14:paraId="7E63FDAF" w14:textId="77777777" w:rsidR="00A64087" w:rsidRDefault="00A64087" w:rsidP="00271C7F">
            <w:pPr>
              <w:rPr>
                <w:bCs/>
              </w:rPr>
            </w:pPr>
            <w:r>
              <w:rPr>
                <w:bCs/>
              </w:rPr>
              <w:t>“Course overall” teaching evaluation score, on a scale of 1 (very unsatisfactory) to 5 (excellent)</w:t>
            </w:r>
          </w:p>
        </w:tc>
      </w:tr>
      <w:tr w:rsidR="00A64087" w:rsidRPr="007A45E5" w14:paraId="753A331E" w14:textId="77777777">
        <w:trPr>
          <w:jc w:val="center"/>
        </w:trPr>
        <w:tc>
          <w:tcPr>
            <w:tcW w:w="1110" w:type="dxa"/>
          </w:tcPr>
          <w:p w14:paraId="1E5E64B2" w14:textId="77777777" w:rsidR="00A64087" w:rsidRPr="007045D0" w:rsidRDefault="00A64087" w:rsidP="00271C7F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Beauty</w:t>
            </w:r>
          </w:p>
        </w:tc>
        <w:tc>
          <w:tcPr>
            <w:tcW w:w="8236" w:type="dxa"/>
          </w:tcPr>
          <w:p w14:paraId="2649B890" w14:textId="77777777" w:rsidR="00A64087" w:rsidRPr="007A45E5" w:rsidRDefault="00A64087" w:rsidP="00271C7F">
            <w:pPr>
              <w:rPr>
                <w:bCs/>
              </w:rPr>
            </w:pPr>
            <w:r>
              <w:rPr>
                <w:bCs/>
              </w:rPr>
              <w:t>Rating of instructor physical appearance by a panel of six students, averaged across the six panelists, shifted to have mean zero.</w:t>
            </w:r>
          </w:p>
        </w:tc>
      </w:tr>
      <w:tr w:rsidR="00A64087" w:rsidRPr="007A45E5" w14:paraId="078C7EDD" w14:textId="77777777">
        <w:trPr>
          <w:jc w:val="center"/>
        </w:trPr>
        <w:tc>
          <w:tcPr>
            <w:tcW w:w="1110" w:type="dxa"/>
          </w:tcPr>
          <w:p w14:paraId="54C7F8B0" w14:textId="77777777" w:rsidR="00A64087" w:rsidRPr="007045D0" w:rsidRDefault="00A64087" w:rsidP="00271C7F">
            <w:pPr>
              <w:jc w:val="center"/>
              <w:rPr>
                <w:bCs/>
              </w:rPr>
            </w:pPr>
            <w:r>
              <w:rPr>
                <w:bCs/>
                <w:i/>
                <w:iCs/>
              </w:rPr>
              <w:t>Female</w:t>
            </w:r>
          </w:p>
        </w:tc>
        <w:tc>
          <w:tcPr>
            <w:tcW w:w="8236" w:type="dxa"/>
          </w:tcPr>
          <w:p w14:paraId="169C5C45" w14:textId="77777777" w:rsidR="00A64087" w:rsidRPr="007A45E5" w:rsidRDefault="00A64087" w:rsidP="00271C7F">
            <w:pPr>
              <w:rPr>
                <w:bCs/>
              </w:rPr>
            </w:pPr>
            <w:r w:rsidRPr="00BC5016">
              <w:rPr>
                <w:bCs/>
                <w:position w:val="-30"/>
              </w:rPr>
              <w:object w:dxaOrig="2960" w:dyaOrig="720" w14:anchorId="2F848D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pt;height:36pt" o:ole="">
                  <v:imagedata r:id="rId8" o:title=""/>
                </v:shape>
                <o:OLEObject Type="Embed" ProgID="Equation.DSMT4" ShapeID="_x0000_i1025" DrawAspect="Content" ObjectID="_1338108422" r:id="rId9"/>
              </w:object>
            </w:r>
          </w:p>
        </w:tc>
      </w:tr>
      <w:tr w:rsidR="00A64087" w:rsidRPr="007A45E5" w14:paraId="5F2FEAD2" w14:textId="77777777">
        <w:trPr>
          <w:jc w:val="center"/>
        </w:trPr>
        <w:tc>
          <w:tcPr>
            <w:tcW w:w="1110" w:type="dxa"/>
          </w:tcPr>
          <w:p w14:paraId="33EB95D0" w14:textId="77777777" w:rsidR="00A64087" w:rsidRPr="007045D0" w:rsidRDefault="00A64087" w:rsidP="00271C7F">
            <w:pPr>
              <w:jc w:val="center"/>
              <w:rPr>
                <w:bCs/>
              </w:rPr>
            </w:pPr>
            <w:r>
              <w:rPr>
                <w:bCs/>
                <w:i/>
                <w:iCs/>
              </w:rPr>
              <w:t>Minority</w:t>
            </w:r>
          </w:p>
        </w:tc>
        <w:tc>
          <w:tcPr>
            <w:tcW w:w="8236" w:type="dxa"/>
          </w:tcPr>
          <w:p w14:paraId="6FDF28DF" w14:textId="77777777" w:rsidR="00A64087" w:rsidRPr="007A45E5" w:rsidRDefault="00A64087" w:rsidP="00271C7F">
            <w:pPr>
              <w:rPr>
                <w:bCs/>
              </w:rPr>
            </w:pPr>
            <w:r w:rsidRPr="00BC5016">
              <w:rPr>
                <w:bCs/>
                <w:position w:val="-30"/>
              </w:rPr>
              <w:object w:dxaOrig="3500" w:dyaOrig="720" w14:anchorId="0B3DBA71">
                <v:shape id="_x0000_i1026" type="#_x0000_t75" style="width:175.2pt;height:36pt" o:ole="">
                  <v:imagedata r:id="rId10" o:title=""/>
                </v:shape>
                <o:OLEObject Type="Embed" ProgID="Equation.DSMT4" ShapeID="_x0000_i1026" DrawAspect="Content" ObjectID="_1338108423" r:id="rId11"/>
              </w:object>
            </w:r>
          </w:p>
        </w:tc>
      </w:tr>
      <w:tr w:rsidR="00A64087" w:rsidRPr="007A45E5" w14:paraId="2F5846DB" w14:textId="77777777">
        <w:trPr>
          <w:jc w:val="center"/>
        </w:trPr>
        <w:tc>
          <w:tcPr>
            <w:tcW w:w="1110" w:type="dxa"/>
          </w:tcPr>
          <w:p w14:paraId="4C506536" w14:textId="77777777" w:rsidR="00A64087" w:rsidRPr="007045D0" w:rsidRDefault="00673ED0" w:rsidP="00271C7F">
            <w:pPr>
              <w:jc w:val="center"/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NNenglish</w:t>
            </w:r>
            <w:proofErr w:type="spellEnd"/>
          </w:p>
        </w:tc>
        <w:tc>
          <w:tcPr>
            <w:tcW w:w="8236" w:type="dxa"/>
          </w:tcPr>
          <w:p w14:paraId="4347AA2D" w14:textId="77777777" w:rsidR="00A64087" w:rsidRPr="007A45E5" w:rsidRDefault="00A64087" w:rsidP="00271C7F">
            <w:pPr>
              <w:rPr>
                <w:bCs/>
              </w:rPr>
            </w:pPr>
            <w:r w:rsidRPr="00BC5016">
              <w:rPr>
                <w:bCs/>
                <w:position w:val="-30"/>
              </w:rPr>
              <w:object w:dxaOrig="5020" w:dyaOrig="720" w14:anchorId="5A26386C">
                <v:shape id="_x0000_i1027" type="#_x0000_t75" style="width:251.2pt;height:36pt" o:ole="">
                  <v:imagedata r:id="rId12" o:title=""/>
                </v:shape>
                <o:OLEObject Type="Embed" ProgID="Equation.DSMT4" ShapeID="_x0000_i1027" DrawAspect="Content" ObjectID="_1338108424" r:id="rId13"/>
              </w:object>
            </w:r>
          </w:p>
        </w:tc>
      </w:tr>
      <w:tr w:rsidR="00A64087" w:rsidRPr="007A45E5" w14:paraId="0C03AA3A" w14:textId="77777777">
        <w:trPr>
          <w:jc w:val="center"/>
        </w:trPr>
        <w:tc>
          <w:tcPr>
            <w:tcW w:w="1110" w:type="dxa"/>
          </w:tcPr>
          <w:p w14:paraId="68A31679" w14:textId="77777777" w:rsidR="00A64087" w:rsidRPr="007045D0" w:rsidRDefault="00A64087" w:rsidP="00271C7F">
            <w:pPr>
              <w:jc w:val="center"/>
              <w:rPr>
                <w:bCs/>
                <w:vertAlign w:val="superscript"/>
              </w:rPr>
            </w:pPr>
            <w:proofErr w:type="gramStart"/>
            <w:r>
              <w:rPr>
                <w:bCs/>
                <w:i/>
                <w:iCs/>
              </w:rPr>
              <w:t>intro</w:t>
            </w:r>
            <w:proofErr w:type="gramEnd"/>
            <w:r>
              <w:rPr>
                <w:bCs/>
                <w:i/>
                <w:iCs/>
              </w:rPr>
              <w:t xml:space="preserve"> </w:t>
            </w:r>
          </w:p>
        </w:tc>
        <w:tc>
          <w:tcPr>
            <w:tcW w:w="8236" w:type="dxa"/>
          </w:tcPr>
          <w:p w14:paraId="53A214C5" w14:textId="77777777" w:rsidR="00A64087" w:rsidRPr="007A45E5" w:rsidRDefault="00A64087" w:rsidP="00271C7F">
            <w:pPr>
              <w:rPr>
                <w:iCs/>
              </w:rPr>
            </w:pPr>
            <w:r w:rsidRPr="00BC5016">
              <w:rPr>
                <w:bCs/>
                <w:position w:val="-30"/>
              </w:rPr>
              <w:object w:dxaOrig="8020" w:dyaOrig="720" w14:anchorId="074F69FE">
                <v:shape id="_x0000_i1028" type="#_x0000_t75" style="width:400.8pt;height:36pt" o:ole="">
                  <v:imagedata r:id="rId14" o:title=""/>
                </v:shape>
                <o:OLEObject Type="Embed" ProgID="Equation.DSMT4" ShapeID="_x0000_i1028" DrawAspect="Content" ObjectID="_1338108425" r:id="rId15"/>
              </w:object>
            </w:r>
          </w:p>
        </w:tc>
      </w:tr>
      <w:tr w:rsidR="00A64087" w:rsidRPr="007A45E5" w14:paraId="24C12F16" w14:textId="77777777">
        <w:trPr>
          <w:jc w:val="center"/>
        </w:trPr>
        <w:tc>
          <w:tcPr>
            <w:tcW w:w="1110" w:type="dxa"/>
          </w:tcPr>
          <w:p w14:paraId="03A632B0" w14:textId="77777777" w:rsidR="00A64087" w:rsidRPr="007045D0" w:rsidRDefault="00A64087" w:rsidP="00271C7F">
            <w:pPr>
              <w:jc w:val="center"/>
              <w:rPr>
                <w:bCs/>
                <w:i/>
              </w:rPr>
            </w:pPr>
            <w:proofErr w:type="spellStart"/>
            <w:proofErr w:type="gramStart"/>
            <w:r>
              <w:rPr>
                <w:bCs/>
                <w:i/>
              </w:rPr>
              <w:t>onecredit</w:t>
            </w:r>
            <w:proofErr w:type="spellEnd"/>
            <w:proofErr w:type="gramEnd"/>
          </w:p>
        </w:tc>
        <w:tc>
          <w:tcPr>
            <w:tcW w:w="8236" w:type="dxa"/>
          </w:tcPr>
          <w:p w14:paraId="19F34595" w14:textId="77777777" w:rsidR="00A64087" w:rsidRPr="007A45E5" w:rsidRDefault="00A64087" w:rsidP="00271C7F">
            <w:pPr>
              <w:rPr>
                <w:iCs/>
              </w:rPr>
            </w:pPr>
            <w:r w:rsidRPr="00FC7541">
              <w:rPr>
                <w:bCs/>
                <w:position w:val="-30"/>
              </w:rPr>
              <w:object w:dxaOrig="7240" w:dyaOrig="720" w14:anchorId="0CA1F830">
                <v:shape id="_x0000_i1029" type="#_x0000_t75" style="width:362.4pt;height:36pt" o:ole="">
                  <v:imagedata r:id="rId16" o:title=""/>
                </v:shape>
                <o:OLEObject Type="Embed" ProgID="Equation.DSMT4" ShapeID="_x0000_i1029" DrawAspect="Content" ObjectID="_1338108426" r:id="rId17"/>
              </w:object>
            </w:r>
          </w:p>
        </w:tc>
      </w:tr>
      <w:tr w:rsidR="00A64087" w:rsidRPr="007A45E5" w14:paraId="525ACB75" w14:textId="77777777">
        <w:trPr>
          <w:jc w:val="center"/>
        </w:trPr>
        <w:tc>
          <w:tcPr>
            <w:tcW w:w="1110" w:type="dxa"/>
          </w:tcPr>
          <w:p w14:paraId="22381D2F" w14:textId="77777777" w:rsidR="00A64087" w:rsidRPr="007045D0" w:rsidRDefault="00A64087" w:rsidP="00271C7F">
            <w:pPr>
              <w:jc w:val="center"/>
              <w:rPr>
                <w:bCs/>
                <w:vertAlign w:val="superscript"/>
              </w:rPr>
            </w:pPr>
            <w:proofErr w:type="gramStart"/>
            <w:r>
              <w:rPr>
                <w:bCs/>
                <w:i/>
                <w:iCs/>
              </w:rPr>
              <w:t>age</w:t>
            </w:r>
            <w:proofErr w:type="gramEnd"/>
          </w:p>
        </w:tc>
        <w:tc>
          <w:tcPr>
            <w:tcW w:w="8236" w:type="dxa"/>
          </w:tcPr>
          <w:p w14:paraId="5DC464C5" w14:textId="77777777" w:rsidR="00A64087" w:rsidRPr="007A45E5" w:rsidRDefault="00A64087" w:rsidP="00271C7F">
            <w:pPr>
              <w:rPr>
                <w:iCs/>
              </w:rPr>
            </w:pPr>
            <w:r>
              <w:rPr>
                <w:bCs/>
              </w:rPr>
              <w:t xml:space="preserve">Professor’s age </w:t>
            </w:r>
          </w:p>
        </w:tc>
      </w:tr>
    </w:tbl>
    <w:p w14:paraId="003C24F2" w14:textId="77777777" w:rsidR="00A64087" w:rsidRPr="00C14C27" w:rsidRDefault="00A64087" w:rsidP="00A64087"/>
    <w:p w14:paraId="1E61F86F" w14:textId="77777777" w:rsidR="00A64087" w:rsidRDefault="00A64087" w:rsidP="00240332">
      <w:pPr>
        <w:pStyle w:val="PlainText"/>
        <w:spacing w:line="480" w:lineRule="auto"/>
        <w:rPr>
          <w:rFonts w:ascii="Times New Roman" w:hAnsi="Times New Roman"/>
          <w:sz w:val="24"/>
          <w:szCs w:val="24"/>
        </w:rPr>
      </w:pPr>
    </w:p>
    <w:sectPr w:rsidR="00A64087" w:rsidSect="00E2113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D0539" w14:textId="77777777" w:rsidR="00017E61" w:rsidRDefault="00017E61">
      <w:r>
        <w:separator/>
      </w:r>
    </w:p>
  </w:endnote>
  <w:endnote w:type="continuationSeparator" w:id="0">
    <w:p w14:paraId="67414BB8" w14:textId="77777777" w:rsidR="00017E61" w:rsidRDefault="0001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2C8B1" w14:textId="77777777" w:rsidR="00E02F8D" w:rsidRDefault="00E02F8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F2707" w14:textId="77777777" w:rsidR="00E02F8D" w:rsidRDefault="00E02F8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73454" w14:textId="77777777" w:rsidR="00E02F8D" w:rsidRDefault="00E02F8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B04C8" w14:textId="77777777" w:rsidR="00017E61" w:rsidRDefault="00017E61">
      <w:r>
        <w:separator/>
      </w:r>
    </w:p>
  </w:footnote>
  <w:footnote w:type="continuationSeparator" w:id="0">
    <w:p w14:paraId="10D55120" w14:textId="77777777" w:rsidR="00017E61" w:rsidRDefault="00017E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A0A2D" w14:textId="77777777" w:rsidR="00E02F8D" w:rsidRDefault="00E02F8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6004D" w14:textId="77777777" w:rsidR="00E02F8D" w:rsidRDefault="00525EA3" w:rsidP="00E02F8D">
    <w:pPr>
      <w:pStyle w:val="Header"/>
    </w:pPr>
    <w:bookmarkStart w:id="0" w:name="_GoBack"/>
    <w:bookmarkEnd w:id="0"/>
    <w:r>
      <w:t>S</w:t>
    </w:r>
    <w:r w:rsidR="00E02F8D">
      <w:t xml:space="preserve">tock and Watson’s </w:t>
    </w:r>
    <w:r w:rsidR="00E02F8D">
      <w:rPr>
        <w:i/>
      </w:rPr>
      <w:t>Introduction to Econometrics</w:t>
    </w:r>
    <w:r w:rsidR="00E02F8D">
      <w:t>, 3</w:t>
    </w:r>
    <w:r w:rsidR="00E02F8D">
      <w:rPr>
        <w:vertAlign w:val="superscript"/>
      </w:rPr>
      <w:t>rd</w:t>
    </w:r>
    <w:r w:rsidR="00E02F8D">
      <w:t xml:space="preserve"> Updated Edition</w:t>
    </w:r>
  </w:p>
  <w:p w14:paraId="55C68514" w14:textId="77777777" w:rsidR="00E02F8D" w:rsidRDefault="00E02F8D">
    <w:pPr>
      <w:pStyle w:val="Header"/>
    </w:pPr>
  </w:p>
  <w:p w14:paraId="3BEC3AD0" w14:textId="77777777" w:rsidR="00E02F8D" w:rsidRDefault="00E02F8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37755" w14:textId="77777777" w:rsidR="00E02F8D" w:rsidRDefault="00E02F8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720"/>
        </w:tabs>
      </w:pPr>
    </w:lvl>
  </w:abstractNum>
  <w:abstractNum w:abstractNumId="1">
    <w:nsid w:val="00000002"/>
    <w:multiLevelType w:val="singleLevel"/>
    <w:tmpl w:val="00000000"/>
    <w:lvl w:ilvl="0">
      <w:start w:val="1"/>
      <w:numFmt w:val="lowerRoman"/>
      <w:pStyle w:val="Quicki"/>
      <w:lvlText w:val="%1)"/>
      <w:lvlJc w:val="left"/>
      <w:pPr>
        <w:tabs>
          <w:tab w:val="num" w:pos="1440"/>
        </w:tabs>
      </w:pPr>
    </w:lvl>
  </w:abstractNum>
  <w:abstractNum w:abstractNumId="2">
    <w:nsid w:val="03713644"/>
    <w:multiLevelType w:val="multilevel"/>
    <w:tmpl w:val="EDA21B94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3B27FAD"/>
    <w:multiLevelType w:val="hybridMultilevel"/>
    <w:tmpl w:val="AF8C1BD4"/>
    <w:lvl w:ilvl="0" w:tplc="B42A3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BE2FEF"/>
    <w:multiLevelType w:val="multilevel"/>
    <w:tmpl w:val="D396DF8C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0834767F"/>
    <w:multiLevelType w:val="hybridMultilevel"/>
    <w:tmpl w:val="4FA4B3A0"/>
    <w:lvl w:ilvl="0" w:tplc="752692A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996110"/>
    <w:multiLevelType w:val="multilevel"/>
    <w:tmpl w:val="D396DF8C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8D43E96"/>
    <w:multiLevelType w:val="multilevel"/>
    <w:tmpl w:val="D396DF8C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E765025"/>
    <w:multiLevelType w:val="hybridMultilevel"/>
    <w:tmpl w:val="E5220B5A"/>
    <w:lvl w:ilvl="0" w:tplc="B42A3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7F4C0E"/>
    <w:multiLevelType w:val="multilevel"/>
    <w:tmpl w:val="EDA21B94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384496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CF316A4"/>
    <w:multiLevelType w:val="multilevel"/>
    <w:tmpl w:val="D396DF8C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E1C26A3"/>
    <w:multiLevelType w:val="multilevel"/>
    <w:tmpl w:val="D396DF8C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F8D7DB7"/>
    <w:multiLevelType w:val="multilevel"/>
    <w:tmpl w:val="D396DF8C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3D24D1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8183C19"/>
    <w:multiLevelType w:val="multilevel"/>
    <w:tmpl w:val="9890501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40B21EBE"/>
    <w:multiLevelType w:val="multilevel"/>
    <w:tmpl w:val="9890501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4FD31578"/>
    <w:multiLevelType w:val="multilevel"/>
    <w:tmpl w:val="9890501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562A5E36"/>
    <w:multiLevelType w:val="multilevel"/>
    <w:tmpl w:val="AF04A6D8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66E735F"/>
    <w:multiLevelType w:val="hybridMultilevel"/>
    <w:tmpl w:val="A1A60006"/>
    <w:lvl w:ilvl="0" w:tplc="752692A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C05B6E"/>
    <w:multiLevelType w:val="hybridMultilevel"/>
    <w:tmpl w:val="9FA89D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934A96"/>
    <w:multiLevelType w:val="multilevel"/>
    <w:tmpl w:val="D396DF8C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679B74DD"/>
    <w:multiLevelType w:val="multilevel"/>
    <w:tmpl w:val="D396DF8C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85A00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68DB7817"/>
    <w:multiLevelType w:val="hybridMultilevel"/>
    <w:tmpl w:val="CBCA921E"/>
    <w:lvl w:ilvl="0" w:tplc="B42A3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3F612D"/>
    <w:multiLevelType w:val="hybridMultilevel"/>
    <w:tmpl w:val="98847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4F618F"/>
    <w:multiLevelType w:val="hybridMultilevel"/>
    <w:tmpl w:val="C7581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702874"/>
    <w:multiLevelType w:val="multilevel"/>
    <w:tmpl w:val="D396DF8C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Quicka"/>
        <w:lvlText w:val="%1)"/>
        <w:lvlJc w:val="left"/>
      </w:lvl>
    </w:lvlOverride>
  </w:num>
  <w:num w:numId="2">
    <w:abstractNumId w:val="1"/>
    <w:lvlOverride w:ilvl="0">
      <w:startOverride w:val="1"/>
      <w:lvl w:ilvl="0">
        <w:start w:val="1"/>
        <w:numFmt w:val="decimal"/>
        <w:pStyle w:val="Quicki"/>
        <w:lvlText w:val="%1)"/>
        <w:lvlJc w:val="left"/>
      </w:lvl>
    </w:lvlOverride>
  </w:num>
  <w:num w:numId="3">
    <w:abstractNumId w:val="26"/>
  </w:num>
  <w:num w:numId="4">
    <w:abstractNumId w:val="15"/>
  </w:num>
  <w:num w:numId="5">
    <w:abstractNumId w:val="5"/>
  </w:num>
  <w:num w:numId="6">
    <w:abstractNumId w:val="19"/>
  </w:num>
  <w:num w:numId="7">
    <w:abstractNumId w:val="23"/>
  </w:num>
  <w:num w:numId="8">
    <w:abstractNumId w:val="14"/>
  </w:num>
  <w:num w:numId="9">
    <w:abstractNumId w:val="16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9"/>
  </w:num>
  <w:num w:numId="15">
    <w:abstractNumId w:val="18"/>
  </w:num>
  <w:num w:numId="16">
    <w:abstractNumId w:val="11"/>
  </w:num>
  <w:num w:numId="17">
    <w:abstractNumId w:val="24"/>
  </w:num>
  <w:num w:numId="18">
    <w:abstractNumId w:val="4"/>
  </w:num>
  <w:num w:numId="19">
    <w:abstractNumId w:val="6"/>
  </w:num>
  <w:num w:numId="20">
    <w:abstractNumId w:val="22"/>
  </w:num>
  <w:num w:numId="21">
    <w:abstractNumId w:val="25"/>
  </w:num>
  <w:num w:numId="22">
    <w:abstractNumId w:val="21"/>
  </w:num>
  <w:num w:numId="23">
    <w:abstractNumId w:val="12"/>
  </w:num>
  <w:num w:numId="24">
    <w:abstractNumId w:val="20"/>
  </w:num>
  <w:num w:numId="25">
    <w:abstractNumId w:val="27"/>
  </w:num>
  <w:num w:numId="26">
    <w:abstractNumId w:val="13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DD"/>
    <w:rsid w:val="00017E61"/>
    <w:rsid w:val="00232DA9"/>
    <w:rsid w:val="00235B4F"/>
    <w:rsid w:val="00240332"/>
    <w:rsid w:val="00246447"/>
    <w:rsid w:val="00271C7F"/>
    <w:rsid w:val="00272D5E"/>
    <w:rsid w:val="00483A7B"/>
    <w:rsid w:val="00525EA3"/>
    <w:rsid w:val="005B4E0A"/>
    <w:rsid w:val="00673ED0"/>
    <w:rsid w:val="007C5B34"/>
    <w:rsid w:val="0095534B"/>
    <w:rsid w:val="00A64087"/>
    <w:rsid w:val="00AD7BDD"/>
    <w:rsid w:val="00C62443"/>
    <w:rsid w:val="00D762A3"/>
    <w:rsid w:val="00E02F8D"/>
    <w:rsid w:val="00E21138"/>
    <w:rsid w:val="00E75CBB"/>
    <w:rsid w:val="00F6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4936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outlineLvl w:val="0"/>
    </w:pPr>
    <w:rPr>
      <w:b/>
      <w:caps/>
      <w:sz w:val="28"/>
      <w:szCs w:val="20"/>
    </w:rPr>
  </w:style>
  <w:style w:type="paragraph" w:styleId="PlainText">
    <w:name w:val="Plain Text"/>
    <w:basedOn w:val="Normal"/>
    <w:rsid w:val="00240332"/>
    <w:rPr>
      <w:rFonts w:ascii="Courier New" w:hAnsi="Courier New"/>
      <w:sz w:val="20"/>
      <w:szCs w:val="20"/>
    </w:rPr>
  </w:style>
  <w:style w:type="paragraph" w:styleId="FootnoteText">
    <w:name w:val="footnote text"/>
    <w:basedOn w:val="Normal"/>
    <w:semiHidden/>
    <w:rsid w:val="002403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0332"/>
    <w:rPr>
      <w:vertAlign w:val="superscript"/>
    </w:rPr>
  </w:style>
  <w:style w:type="paragraph" w:customStyle="1" w:styleId="Quicka">
    <w:name w:val="Quick a)"/>
    <w:basedOn w:val="Normal"/>
    <w:rsid w:val="00A64087"/>
    <w:pPr>
      <w:widowControl w:val="0"/>
      <w:numPr>
        <w:numId w:val="1"/>
      </w:numPr>
    </w:pPr>
    <w:rPr>
      <w:snapToGrid w:val="0"/>
    </w:rPr>
  </w:style>
  <w:style w:type="paragraph" w:customStyle="1" w:styleId="Quicki">
    <w:name w:val="Quick i)"/>
    <w:basedOn w:val="Normal"/>
    <w:rsid w:val="00A64087"/>
    <w:pPr>
      <w:widowControl w:val="0"/>
      <w:numPr>
        <w:numId w:val="2"/>
      </w:numPr>
      <w:ind w:left="1440" w:hanging="720"/>
    </w:pPr>
    <w:rPr>
      <w:snapToGrid w:val="0"/>
    </w:rPr>
  </w:style>
  <w:style w:type="paragraph" w:styleId="Header">
    <w:name w:val="header"/>
    <w:basedOn w:val="Normal"/>
    <w:link w:val="HeaderChar"/>
    <w:uiPriority w:val="99"/>
    <w:rsid w:val="00A64087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rsid w:val="00A64087"/>
    <w:pPr>
      <w:widowControl w:val="0"/>
      <w:tabs>
        <w:tab w:val="center" w:pos="4320"/>
        <w:tab w:val="right" w:pos="8640"/>
      </w:tabs>
    </w:pPr>
    <w:rPr>
      <w:snapToGrid w:val="0"/>
    </w:rPr>
  </w:style>
  <w:style w:type="table" w:styleId="TableGrid">
    <w:name w:val="Table Grid"/>
    <w:basedOn w:val="TableNormal"/>
    <w:rsid w:val="00A640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E02F8D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outlineLvl w:val="0"/>
    </w:pPr>
    <w:rPr>
      <w:b/>
      <w:caps/>
      <w:sz w:val="28"/>
      <w:szCs w:val="20"/>
    </w:rPr>
  </w:style>
  <w:style w:type="paragraph" w:styleId="PlainText">
    <w:name w:val="Plain Text"/>
    <w:basedOn w:val="Normal"/>
    <w:rsid w:val="00240332"/>
    <w:rPr>
      <w:rFonts w:ascii="Courier New" w:hAnsi="Courier New"/>
      <w:sz w:val="20"/>
      <w:szCs w:val="20"/>
    </w:rPr>
  </w:style>
  <w:style w:type="paragraph" w:styleId="FootnoteText">
    <w:name w:val="footnote text"/>
    <w:basedOn w:val="Normal"/>
    <w:semiHidden/>
    <w:rsid w:val="002403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0332"/>
    <w:rPr>
      <w:vertAlign w:val="superscript"/>
    </w:rPr>
  </w:style>
  <w:style w:type="paragraph" w:customStyle="1" w:styleId="Quicka">
    <w:name w:val="Quick a)"/>
    <w:basedOn w:val="Normal"/>
    <w:rsid w:val="00A64087"/>
    <w:pPr>
      <w:widowControl w:val="0"/>
      <w:numPr>
        <w:numId w:val="1"/>
      </w:numPr>
    </w:pPr>
    <w:rPr>
      <w:snapToGrid w:val="0"/>
    </w:rPr>
  </w:style>
  <w:style w:type="paragraph" w:customStyle="1" w:styleId="Quicki">
    <w:name w:val="Quick i)"/>
    <w:basedOn w:val="Normal"/>
    <w:rsid w:val="00A64087"/>
    <w:pPr>
      <w:widowControl w:val="0"/>
      <w:numPr>
        <w:numId w:val="2"/>
      </w:numPr>
      <w:ind w:left="1440" w:hanging="720"/>
    </w:pPr>
    <w:rPr>
      <w:snapToGrid w:val="0"/>
    </w:rPr>
  </w:style>
  <w:style w:type="paragraph" w:styleId="Header">
    <w:name w:val="header"/>
    <w:basedOn w:val="Normal"/>
    <w:link w:val="HeaderChar"/>
    <w:uiPriority w:val="99"/>
    <w:rsid w:val="00A64087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rsid w:val="00A64087"/>
    <w:pPr>
      <w:widowControl w:val="0"/>
      <w:tabs>
        <w:tab w:val="center" w:pos="4320"/>
        <w:tab w:val="right" w:pos="8640"/>
      </w:tabs>
    </w:pPr>
    <w:rPr>
      <w:snapToGrid w:val="0"/>
    </w:rPr>
  </w:style>
  <w:style w:type="table" w:styleId="TableGrid">
    <w:name w:val="Table Grid"/>
    <w:basedOn w:val="TableNormal"/>
    <w:rsid w:val="00A640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E02F8D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2.wmf"/><Relationship Id="rId11" Type="http://schemas.openxmlformats.org/officeDocument/2006/relationships/oleObject" Target="embeddings/oleObject2.bin"/><Relationship Id="rId12" Type="http://schemas.openxmlformats.org/officeDocument/2006/relationships/image" Target="media/image3.wmf"/><Relationship Id="rId13" Type="http://schemas.openxmlformats.org/officeDocument/2006/relationships/oleObject" Target="embeddings/oleObject3.bin"/><Relationship Id="rId14" Type="http://schemas.openxmlformats.org/officeDocument/2006/relationships/image" Target="media/image4.wmf"/><Relationship Id="rId15" Type="http://schemas.openxmlformats.org/officeDocument/2006/relationships/oleObject" Target="embeddings/oleObject4.bin"/><Relationship Id="rId16" Type="http://schemas.openxmlformats.org/officeDocument/2006/relationships/image" Target="media/image5.wmf"/><Relationship Id="rId17" Type="http://schemas.openxmlformats.org/officeDocument/2006/relationships/oleObject" Target="embeddings/oleObject5.bin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CPS_CH3 Data</vt:lpstr>
    </vt:vector>
  </TitlesOfParts>
  <Company>Princeton University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CPS_CH3 Data</dc:title>
  <dc:subject/>
  <dc:creator>Mark W. Watson</dc:creator>
  <cp:keywords/>
  <dc:description/>
  <cp:lastModifiedBy>Princeton Affiliate</cp:lastModifiedBy>
  <cp:revision>3</cp:revision>
  <cp:lastPrinted>2014-06-14T16:00:00Z</cp:lastPrinted>
  <dcterms:created xsi:type="dcterms:W3CDTF">2014-06-14T16:00:00Z</dcterms:created>
  <dcterms:modified xsi:type="dcterms:W3CDTF">2014-06-14T16:01:00Z</dcterms:modified>
</cp:coreProperties>
</file>